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B8" w:rsidRPr="007F61B8" w:rsidRDefault="007F61B8" w:rsidP="007F61B8">
      <w:pPr>
        <w:pStyle w:val="IntenseQuote"/>
        <w:ind w:left="0"/>
        <w:rPr>
          <w:kern w:val="36"/>
          <w:sz w:val="24"/>
          <w:szCs w:val="24"/>
        </w:rPr>
      </w:pPr>
      <w:bookmarkStart w:id="0" w:name="_GoBack"/>
      <w:bookmarkEnd w:id="0"/>
      <w:r w:rsidRPr="007F61B8">
        <w:rPr>
          <w:kern w:val="36"/>
          <w:sz w:val="28"/>
          <w:szCs w:val="28"/>
        </w:rPr>
        <w:t>RUBRIC: Observation Reports</w:t>
      </w:r>
      <w:r w:rsidRPr="007F61B8">
        <w:rPr>
          <w:kern w:val="36"/>
          <w:sz w:val="24"/>
          <w:szCs w:val="24"/>
        </w:rPr>
        <w:t>                                          </w:t>
      </w:r>
      <w:r w:rsidRPr="007F61B8">
        <w:rPr>
          <w:kern w:val="36"/>
          <w:sz w:val="24"/>
          <w:szCs w:val="24"/>
        </w:rPr>
        <w:br/>
        <w:t>English 297</w:t>
      </w:r>
      <w:r w:rsidRPr="007F61B8">
        <w:rPr>
          <w:kern w:val="36"/>
          <w:sz w:val="24"/>
          <w:szCs w:val="24"/>
        </w:rPr>
        <w:br/>
        <w:t>Dr. Lamonica</w:t>
      </w:r>
      <w:r w:rsidRPr="007F61B8">
        <w:rPr>
          <w:kern w:val="36"/>
          <w:sz w:val="24"/>
          <w:szCs w:val="24"/>
        </w:rPr>
        <w:br/>
        <w:t>Fall 2005</w:t>
      </w:r>
      <w:r w:rsidR="00904A1B">
        <w:rPr>
          <w:kern w:val="36"/>
          <w:sz w:val="24"/>
          <w:szCs w:val="24"/>
        </w:rPr>
        <w:tab/>
      </w:r>
      <w:r w:rsidR="00904A1B">
        <w:rPr>
          <w:kern w:val="36"/>
          <w:sz w:val="24"/>
          <w:szCs w:val="24"/>
        </w:rPr>
        <w:tab/>
      </w:r>
      <w:r w:rsidR="00904A1B">
        <w:rPr>
          <w:kern w:val="36"/>
          <w:sz w:val="24"/>
          <w:szCs w:val="24"/>
        </w:rPr>
        <w:tab/>
      </w:r>
      <w:r w:rsidR="00904A1B">
        <w:rPr>
          <w:kern w:val="36"/>
          <w:sz w:val="24"/>
          <w:szCs w:val="24"/>
        </w:rPr>
        <w:tab/>
      </w:r>
      <w:r w:rsidR="00904A1B">
        <w:rPr>
          <w:kern w:val="36"/>
          <w:sz w:val="24"/>
          <w:szCs w:val="24"/>
        </w:rPr>
        <w:tab/>
      </w:r>
      <w:r w:rsidR="00904A1B">
        <w:rPr>
          <w:kern w:val="36"/>
          <w:sz w:val="24"/>
          <w:szCs w:val="24"/>
        </w:rPr>
        <w:tab/>
      </w:r>
      <w:r w:rsidR="00904A1B">
        <w:rPr>
          <w:kern w:val="36"/>
          <w:sz w:val="24"/>
          <w:szCs w:val="24"/>
        </w:rPr>
        <w:tab/>
      </w:r>
      <w:r w:rsidR="00904A1B">
        <w:rPr>
          <w:kern w:val="36"/>
          <w:sz w:val="24"/>
          <w:szCs w:val="24"/>
        </w:rPr>
        <w:tab/>
        <w:t xml:space="preserve">Student Name: </w:t>
      </w:r>
    </w:p>
    <w:tbl>
      <w:tblPr>
        <w:tblW w:w="13338" w:type="dxa"/>
        <w:tblLayout w:type="fixed"/>
        <w:tblCellMar>
          <w:left w:w="0" w:type="dxa"/>
          <w:right w:w="0" w:type="dxa"/>
        </w:tblCellMar>
        <w:tblLook w:val="04A0" w:firstRow="1" w:lastRow="0" w:firstColumn="1" w:lastColumn="0" w:noHBand="0" w:noVBand="1"/>
      </w:tblPr>
      <w:tblGrid>
        <w:gridCol w:w="1548"/>
        <w:gridCol w:w="2947"/>
        <w:gridCol w:w="2948"/>
        <w:gridCol w:w="2947"/>
        <w:gridCol w:w="2948"/>
      </w:tblGrid>
      <w:tr w:rsidR="007F61B8" w:rsidRPr="007F61B8" w:rsidTr="005D3908">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F61B8" w:rsidRPr="007F61B8" w:rsidRDefault="007632A7" w:rsidP="007632A7">
            <w:pPr>
              <w:spacing w:before="100" w:beforeAutospacing="1" w:after="100" w:afterAutospacing="1"/>
              <w:jc w:val="center"/>
              <w:outlineLvl w:val="2"/>
              <w:rPr>
                <w:rFonts w:asciiTheme="minorHAnsi" w:hAnsiTheme="minorHAnsi" w:cs="Times New Roman"/>
                <w:b/>
                <w:bCs/>
              </w:rPr>
            </w:pPr>
            <w:r>
              <w:rPr>
                <w:rFonts w:asciiTheme="minorHAnsi" w:hAnsiTheme="minorHAnsi" w:cs="Times New Roman"/>
                <w:b/>
                <w:bCs/>
              </w:rPr>
              <w:t>EXCELLENT</w:t>
            </w:r>
          </w:p>
        </w:tc>
        <w:tc>
          <w:tcPr>
            <w:tcW w:w="294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F61B8" w:rsidRPr="007F61B8" w:rsidRDefault="007632A7" w:rsidP="007F61B8">
            <w:pPr>
              <w:spacing w:before="100" w:beforeAutospacing="1" w:after="100" w:afterAutospacing="1"/>
              <w:jc w:val="center"/>
              <w:rPr>
                <w:rFonts w:asciiTheme="minorHAnsi" w:hAnsiTheme="minorHAnsi" w:cs="Times New Roman"/>
              </w:rPr>
            </w:pPr>
            <w:r>
              <w:rPr>
                <w:rFonts w:asciiTheme="minorHAnsi" w:hAnsiTheme="minorHAnsi" w:cs="Times New Roman"/>
                <w:b/>
                <w:bCs/>
              </w:rPr>
              <w:t>STRONG</w:t>
            </w:r>
          </w:p>
        </w:tc>
        <w:tc>
          <w:tcPr>
            <w:tcW w:w="294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F61B8" w:rsidRPr="007F61B8" w:rsidRDefault="007632A7" w:rsidP="007F61B8">
            <w:pPr>
              <w:spacing w:before="100" w:beforeAutospacing="1" w:after="100" w:afterAutospacing="1"/>
              <w:jc w:val="center"/>
              <w:rPr>
                <w:rFonts w:asciiTheme="minorHAnsi" w:hAnsiTheme="minorHAnsi" w:cs="Times New Roman"/>
              </w:rPr>
            </w:pPr>
            <w:r>
              <w:rPr>
                <w:rFonts w:asciiTheme="minorHAnsi" w:hAnsiTheme="minorHAnsi" w:cs="Times New Roman"/>
                <w:b/>
                <w:bCs/>
              </w:rPr>
              <w:t>SATISFACTORY</w:t>
            </w:r>
          </w:p>
        </w:tc>
        <w:tc>
          <w:tcPr>
            <w:tcW w:w="2948" w:type="dxa"/>
            <w:tcBorders>
              <w:top w:val="single" w:sz="4" w:space="0" w:color="auto"/>
              <w:left w:val="nil"/>
              <w:bottom w:val="single" w:sz="4" w:space="0" w:color="auto"/>
              <w:right w:val="single" w:sz="4" w:space="0" w:color="auto"/>
            </w:tcBorders>
          </w:tcPr>
          <w:p w:rsidR="007F61B8" w:rsidRPr="007F61B8" w:rsidRDefault="007F61B8" w:rsidP="007F61B8">
            <w:pPr>
              <w:spacing w:before="100" w:beforeAutospacing="1" w:after="100" w:afterAutospacing="1"/>
              <w:jc w:val="center"/>
              <w:rPr>
                <w:rFonts w:asciiTheme="minorHAnsi" w:hAnsiTheme="minorHAnsi" w:cs="Times New Roman"/>
                <w:b/>
                <w:bCs/>
              </w:rPr>
            </w:pPr>
            <w:r w:rsidRPr="007F61B8">
              <w:rPr>
                <w:rFonts w:asciiTheme="minorHAnsi" w:hAnsiTheme="minorHAnsi" w:cs="Times New Roman"/>
                <w:b/>
                <w:bCs/>
              </w:rPr>
              <w:t>REVISE &amp; RESUBMIT</w:t>
            </w:r>
          </w:p>
        </w:tc>
      </w:tr>
      <w:tr w:rsidR="007F61B8" w:rsidRPr="007F61B8" w:rsidTr="005D3908">
        <w:tc>
          <w:tcPr>
            <w:tcW w:w="1548" w:type="dxa"/>
            <w:tcBorders>
              <w:top w:val="nil"/>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b/>
                <w:bCs/>
              </w:rPr>
              <w:t>WHAT?</w:t>
            </w:r>
          </w:p>
        </w:tc>
        <w:tc>
          <w:tcPr>
            <w:tcW w:w="2947"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7"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DBE5F1" w:themeFill="accent1" w:themeFillTint="33"/>
          </w:tcPr>
          <w:p w:rsidR="007F61B8" w:rsidRPr="007F61B8" w:rsidRDefault="007F61B8" w:rsidP="007F61B8">
            <w:pPr>
              <w:rPr>
                <w:rFonts w:asciiTheme="minorHAnsi" w:hAnsiTheme="minorHAnsi" w:cs="Times New Roman"/>
              </w:rPr>
            </w:pPr>
          </w:p>
        </w:tc>
      </w:tr>
      <w:tr w:rsidR="007F61B8" w:rsidRPr="005D3908" w:rsidTr="005D3908">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4A30E6" w:rsidRDefault="007F61B8" w:rsidP="007F61B8">
            <w:pPr>
              <w:spacing w:before="100" w:beforeAutospacing="1" w:after="100" w:afterAutospacing="1"/>
              <w:rPr>
                <w:rFonts w:asciiTheme="minorHAnsi" w:hAnsiTheme="minorHAnsi" w:cs="Times New Roman"/>
              </w:rPr>
            </w:pPr>
            <w:r w:rsidRPr="004A30E6">
              <w:rPr>
                <w:rFonts w:asciiTheme="minorHAnsi" w:hAnsiTheme="minorHAnsi" w:cs="Times New Roman"/>
                <w:i/>
                <w:iCs/>
              </w:rPr>
              <w:t>Content</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4A30E6" w:rsidRDefault="007F61B8" w:rsidP="007F61B8">
            <w:pPr>
              <w:spacing w:before="100" w:beforeAutospacing="1" w:after="100" w:afterAutospacing="1"/>
              <w:rPr>
                <w:rFonts w:asciiTheme="minorHAnsi" w:hAnsiTheme="minorHAnsi" w:cs="Times New Roman"/>
              </w:rPr>
            </w:pPr>
            <w:r w:rsidRPr="004A30E6">
              <w:rPr>
                <w:rFonts w:asciiTheme="minorHAnsi" w:hAnsiTheme="minorHAnsi" w:cs="Times New Roman"/>
              </w:rPr>
              <w:t>This portion of the report offers a detailed, coherent description, demonstrating the ability to observe carefully, keep thorough records, and tra</w:t>
            </w:r>
            <w:r w:rsidR="004A30E6">
              <w:rPr>
                <w:rFonts w:asciiTheme="minorHAnsi" w:hAnsiTheme="minorHAnsi" w:cs="Times New Roman"/>
              </w:rPr>
              <w:t>nslate those into an engaging narrative</w:t>
            </w:r>
            <w:r w:rsidRPr="004A30E6">
              <w:rPr>
                <w:rFonts w:asciiTheme="minorHAnsi" w:hAnsiTheme="minorHAnsi" w:cs="Times New Roman"/>
              </w:rPr>
              <w:t xml:space="preserve">.    </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4A30E6" w:rsidRDefault="007F61B8" w:rsidP="007F61B8">
            <w:pPr>
              <w:spacing w:before="100" w:beforeAutospacing="1" w:after="100" w:afterAutospacing="1"/>
              <w:rPr>
                <w:rFonts w:asciiTheme="minorHAnsi" w:hAnsiTheme="minorHAnsi" w:cs="Times New Roman"/>
              </w:rPr>
            </w:pPr>
            <w:r w:rsidRPr="004A30E6">
              <w:rPr>
                <w:rFonts w:asciiTheme="minorHAnsi" w:hAnsiTheme="minorHAnsi" w:cs="Times New Roman"/>
              </w:rPr>
              <w:t>This portion of the report offers a well-developed, coherent description, suggesting the ability</w:t>
            </w:r>
            <w:r w:rsidR="004A30E6">
              <w:rPr>
                <w:rFonts w:asciiTheme="minorHAnsi" w:hAnsiTheme="minorHAnsi" w:cs="Times New Roman"/>
              </w:rPr>
              <w:t xml:space="preserve"> to observe carefully and generate a</w:t>
            </w:r>
            <w:r w:rsidRPr="004A30E6">
              <w:rPr>
                <w:rFonts w:asciiTheme="minorHAnsi" w:hAnsiTheme="minorHAnsi" w:cs="Times New Roman"/>
              </w:rPr>
              <w:t xml:space="preserve"> careful</w:t>
            </w:r>
            <w:r w:rsidR="004A30E6">
              <w:rPr>
                <w:rFonts w:asciiTheme="minorHAnsi" w:hAnsiTheme="minorHAnsi" w:cs="Times New Roman"/>
              </w:rPr>
              <w:t>, coherent</w:t>
            </w:r>
            <w:r w:rsidRPr="004A30E6">
              <w:rPr>
                <w:rFonts w:asciiTheme="minorHAnsi" w:hAnsiTheme="minorHAnsi" w:cs="Times New Roman"/>
              </w:rPr>
              <w:t xml:space="preserve"> record of those observations.   </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4A30E6" w:rsidRDefault="007F61B8" w:rsidP="007F61B8">
            <w:pPr>
              <w:spacing w:before="100" w:beforeAutospacing="1" w:after="100" w:afterAutospacing="1"/>
              <w:rPr>
                <w:rFonts w:asciiTheme="minorHAnsi" w:hAnsiTheme="minorHAnsi" w:cs="Times New Roman"/>
              </w:rPr>
            </w:pPr>
            <w:r w:rsidRPr="004A30E6">
              <w:rPr>
                <w:rFonts w:asciiTheme="minorHAnsi" w:hAnsiTheme="minorHAnsi" w:cs="Times New Roman"/>
              </w:rPr>
              <w:t>This portion of the report offers a complete description, suggesting the ability to ob</w:t>
            </w:r>
            <w:r w:rsidR="004A30E6">
              <w:rPr>
                <w:rFonts w:asciiTheme="minorHAnsi" w:hAnsiTheme="minorHAnsi" w:cs="Times New Roman"/>
              </w:rPr>
              <w:t>serve and produce</w:t>
            </w:r>
            <w:r w:rsidRPr="004A30E6">
              <w:rPr>
                <w:rFonts w:asciiTheme="minorHAnsi" w:hAnsiTheme="minorHAnsi" w:cs="Times New Roman"/>
              </w:rPr>
              <w:t xml:space="preserve"> a clear record of those observations.  </w:t>
            </w:r>
          </w:p>
        </w:tc>
        <w:tc>
          <w:tcPr>
            <w:tcW w:w="2948" w:type="dxa"/>
            <w:tcBorders>
              <w:top w:val="nil"/>
              <w:left w:val="nil"/>
              <w:bottom w:val="single" w:sz="4" w:space="0" w:color="auto"/>
              <w:right w:val="single" w:sz="4" w:space="0" w:color="auto"/>
            </w:tcBorders>
          </w:tcPr>
          <w:p w:rsidR="007F61B8" w:rsidRPr="004A30E6" w:rsidRDefault="007F61B8" w:rsidP="007F61B8">
            <w:pPr>
              <w:spacing w:before="100" w:beforeAutospacing="1" w:after="100" w:afterAutospacing="1"/>
              <w:rPr>
                <w:rFonts w:asciiTheme="minorHAnsi" w:hAnsiTheme="minorHAnsi" w:cs="Times New Roman"/>
              </w:rPr>
            </w:pPr>
            <w:r w:rsidRPr="004A30E6">
              <w:rPr>
                <w:rFonts w:asciiTheme="minorHAnsi" w:hAnsiTheme="minorHAnsi" w:cs="Times New Roman"/>
              </w:rPr>
              <w:t xml:space="preserve"> This portion of the report is </w:t>
            </w:r>
            <w:r w:rsidR="00E01FD6">
              <w:rPr>
                <w:rFonts w:asciiTheme="minorHAnsi" w:hAnsiTheme="minorHAnsi" w:cs="Times New Roman"/>
              </w:rPr>
              <w:t xml:space="preserve">  </w:t>
            </w:r>
            <w:r w:rsidRPr="004A30E6">
              <w:rPr>
                <w:rFonts w:asciiTheme="minorHAnsi" w:hAnsiTheme="minorHAnsi" w:cs="Times New Roman"/>
              </w:rPr>
              <w:t>sketchy or perfunctory, suggesting an inability or unwillingness to conduct and report detailed observations.</w:t>
            </w:r>
          </w:p>
        </w:tc>
      </w:tr>
      <w:tr w:rsidR="007F61B8" w:rsidRPr="007F61B8" w:rsidTr="005D3908">
        <w:tc>
          <w:tcPr>
            <w:tcW w:w="1548" w:type="dxa"/>
            <w:tcBorders>
              <w:top w:val="nil"/>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b/>
                <w:bCs/>
              </w:rPr>
              <w:t>SO WHAT?</w:t>
            </w:r>
          </w:p>
        </w:tc>
        <w:tc>
          <w:tcPr>
            <w:tcW w:w="2947"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7"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DBE5F1" w:themeFill="accent1" w:themeFillTint="33"/>
          </w:tcPr>
          <w:p w:rsidR="007F61B8" w:rsidRPr="007F61B8" w:rsidRDefault="007F61B8" w:rsidP="007F61B8">
            <w:pPr>
              <w:rPr>
                <w:rFonts w:asciiTheme="minorHAnsi" w:hAnsiTheme="minorHAnsi" w:cs="Times New Roman"/>
              </w:rPr>
            </w:pPr>
          </w:p>
        </w:tc>
      </w:tr>
      <w:tr w:rsidR="007F61B8" w:rsidRPr="007F61B8" w:rsidTr="005D3908">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i/>
                <w:iCs/>
              </w:rPr>
              <w:t xml:space="preserve">Content </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This portion of the report offers a consistently thoughtful, even insightful discussion of the ways in which the observation relates to the content of the methods course (ENG 297) and the observer’s pre-existing knowledge and assumptions.</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This portion of the report offers a well-developed, coherent discussion of the ways in which the observation relates to the content of the methods course (ENG 297) and/or the observer’s pre-existing knowledge and assumptions.</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DC56DC" w:rsidP="005D4DAA">
            <w:pPr>
              <w:spacing w:before="100" w:beforeAutospacing="1" w:after="100" w:afterAutospacing="1"/>
              <w:rPr>
                <w:rFonts w:asciiTheme="minorHAnsi" w:hAnsiTheme="minorHAnsi" w:cs="Times New Roman"/>
              </w:rPr>
            </w:pPr>
            <w:r>
              <w:rPr>
                <w:rFonts w:asciiTheme="minorHAnsi" w:hAnsiTheme="minorHAnsi" w:cs="Times New Roman"/>
              </w:rPr>
              <w:t>This portion of the</w:t>
            </w:r>
            <w:r w:rsidR="005D4DAA">
              <w:rPr>
                <w:rFonts w:asciiTheme="minorHAnsi" w:hAnsiTheme="minorHAnsi" w:cs="Times New Roman"/>
              </w:rPr>
              <w:t xml:space="preserve"> report clearly identifies at least one </w:t>
            </w:r>
            <w:r w:rsidRPr="007F61B8">
              <w:rPr>
                <w:rFonts w:asciiTheme="minorHAnsi" w:hAnsiTheme="minorHAnsi" w:cs="Times New Roman"/>
              </w:rPr>
              <w:t xml:space="preserve"> way in which the observation relates to the content of the methods course (ENG 297) and/or the observer’s pre-existing knowledge and assumptions.</w:t>
            </w:r>
          </w:p>
        </w:tc>
        <w:tc>
          <w:tcPr>
            <w:tcW w:w="2948" w:type="dxa"/>
            <w:tcBorders>
              <w:top w:val="nil"/>
              <w:left w:val="nil"/>
              <w:bottom w:val="single" w:sz="4" w:space="0" w:color="auto"/>
              <w:right w:val="single" w:sz="4" w:space="0" w:color="auto"/>
            </w:tcBorders>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This portion of the report is sketchy or perfunctory, suggesting an inability or unwillingness to consider how the observation relates to either the content of the methods course (ENG 297) or the observer’s pre-existing knowledge and assumptions.</w:t>
            </w:r>
          </w:p>
        </w:tc>
      </w:tr>
      <w:tr w:rsidR="007F61B8" w:rsidRPr="007F61B8" w:rsidTr="005D3908">
        <w:tc>
          <w:tcPr>
            <w:tcW w:w="1548" w:type="dxa"/>
            <w:tcBorders>
              <w:top w:val="nil"/>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b/>
                <w:bCs/>
              </w:rPr>
              <w:t>NOW WHAT?</w:t>
            </w:r>
          </w:p>
        </w:tc>
        <w:tc>
          <w:tcPr>
            <w:tcW w:w="2947"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7" w:type="dxa"/>
            <w:tcBorders>
              <w:top w:val="nil"/>
              <w:left w:val="nil"/>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DBE5F1" w:themeFill="accent1" w:themeFillTint="33"/>
          </w:tcPr>
          <w:p w:rsidR="007F61B8" w:rsidRPr="007F61B8" w:rsidRDefault="007F61B8" w:rsidP="007F61B8">
            <w:pPr>
              <w:rPr>
                <w:rFonts w:asciiTheme="minorHAnsi" w:hAnsiTheme="minorHAnsi" w:cs="Times New Roman"/>
              </w:rPr>
            </w:pPr>
          </w:p>
        </w:tc>
      </w:tr>
      <w:tr w:rsidR="007F61B8" w:rsidRPr="007F61B8" w:rsidTr="005D3908">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B50745" w:rsidRDefault="00B50745" w:rsidP="007F61B8">
            <w:pPr>
              <w:rPr>
                <w:rFonts w:asciiTheme="minorHAnsi" w:hAnsiTheme="minorHAnsi" w:cs="Times New Roman"/>
                <w:i/>
              </w:rPr>
            </w:pPr>
            <w:r w:rsidRPr="00B50745">
              <w:rPr>
                <w:rFonts w:asciiTheme="minorHAnsi" w:hAnsiTheme="minorHAnsi" w:cs="Times New Roman"/>
                <w:i/>
              </w:rPr>
              <w:t>Content</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 xml:space="preserve">This portion of the report offers a consistently thoughtful, even insightful discussion of the ways in which the observation might influence the observer’s future learning, observation, or pedagogical practice.  </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 xml:space="preserve">This portion of the report offers a well-developed, coherent discussion of the ways in which the observation might influence the observer’s future learning, observation, or pedagogical practice.  </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920089" w:rsidP="00920089">
            <w:pPr>
              <w:spacing w:before="100" w:beforeAutospacing="1" w:after="100" w:afterAutospacing="1"/>
              <w:rPr>
                <w:rFonts w:asciiTheme="minorHAnsi" w:hAnsiTheme="minorHAnsi" w:cs="Times New Roman"/>
              </w:rPr>
            </w:pPr>
            <w:r w:rsidRPr="007F61B8">
              <w:rPr>
                <w:rFonts w:asciiTheme="minorHAnsi" w:hAnsiTheme="minorHAnsi" w:cs="Times New Roman"/>
              </w:rPr>
              <w:t>This portio</w:t>
            </w:r>
            <w:r>
              <w:rPr>
                <w:rFonts w:asciiTheme="minorHAnsi" w:hAnsiTheme="minorHAnsi" w:cs="Times New Roman"/>
              </w:rPr>
              <w:t>n of the report clearly identifies at least one way</w:t>
            </w:r>
            <w:r w:rsidRPr="007F61B8">
              <w:rPr>
                <w:rFonts w:asciiTheme="minorHAnsi" w:hAnsiTheme="minorHAnsi" w:cs="Times New Roman"/>
              </w:rPr>
              <w:t xml:space="preserve"> in which the observation might influence the observer’s future learning, observation, or pedagogical practice. </w:t>
            </w:r>
          </w:p>
        </w:tc>
        <w:tc>
          <w:tcPr>
            <w:tcW w:w="2948" w:type="dxa"/>
            <w:tcBorders>
              <w:top w:val="nil"/>
              <w:left w:val="nil"/>
              <w:bottom w:val="single" w:sz="4" w:space="0" w:color="auto"/>
              <w:right w:val="single" w:sz="4" w:space="0" w:color="auto"/>
            </w:tcBorders>
          </w:tcPr>
          <w:p w:rsid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This portion of the report is sketchy or perfunctory, suggesting an inability or unwillingness to consider how the observation might influence the observer’s future learning, observation, or pedagogical practice. </w:t>
            </w:r>
          </w:p>
          <w:p w:rsidR="00744366" w:rsidRPr="007F61B8" w:rsidRDefault="00744366" w:rsidP="007F61B8">
            <w:pPr>
              <w:spacing w:before="100" w:beforeAutospacing="1" w:after="100" w:afterAutospacing="1"/>
              <w:rPr>
                <w:rFonts w:asciiTheme="minorHAnsi" w:hAnsiTheme="minorHAnsi" w:cs="Times New Roman"/>
              </w:rPr>
            </w:pPr>
          </w:p>
        </w:tc>
      </w:tr>
    </w:tbl>
    <w:p w:rsidR="0003707E" w:rsidRDefault="0003707E" w:rsidP="007F61B8">
      <w:pPr>
        <w:spacing w:before="100" w:beforeAutospacing="1" w:after="100" w:afterAutospacing="1"/>
        <w:rPr>
          <w:rFonts w:asciiTheme="minorHAnsi" w:hAnsiTheme="minorHAnsi" w:cs="Times New Roman"/>
          <w:b/>
          <w:bCs/>
        </w:rPr>
        <w:sectPr w:rsidR="0003707E" w:rsidSect="00744366">
          <w:pgSz w:w="15840" w:h="12240" w:orient="landscape"/>
          <w:pgMar w:top="1440" w:right="1440" w:bottom="630" w:left="1440" w:header="720" w:footer="720" w:gutter="0"/>
          <w:cols w:space="720"/>
          <w:docGrid w:linePitch="360"/>
        </w:sectPr>
      </w:pPr>
    </w:p>
    <w:tbl>
      <w:tblPr>
        <w:tblW w:w="13338" w:type="dxa"/>
        <w:tblLayout w:type="fixed"/>
        <w:tblCellMar>
          <w:left w:w="0" w:type="dxa"/>
          <w:right w:w="0" w:type="dxa"/>
        </w:tblCellMar>
        <w:tblLook w:val="04A0" w:firstRow="1" w:lastRow="0" w:firstColumn="1" w:lastColumn="0" w:noHBand="0" w:noVBand="1"/>
      </w:tblPr>
      <w:tblGrid>
        <w:gridCol w:w="1548"/>
        <w:gridCol w:w="2947"/>
        <w:gridCol w:w="2948"/>
        <w:gridCol w:w="2947"/>
        <w:gridCol w:w="2948"/>
      </w:tblGrid>
      <w:tr w:rsidR="007F61B8" w:rsidRPr="007F61B8" w:rsidTr="00397BC9">
        <w:tc>
          <w:tcPr>
            <w:tcW w:w="1548" w:type="dxa"/>
            <w:tcBorders>
              <w:top w:val="nil"/>
              <w:left w:val="single" w:sz="4" w:space="0" w:color="auto"/>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b/>
                <w:bCs/>
              </w:rPr>
              <w:lastRenderedPageBreak/>
              <w:t xml:space="preserve">OVERALL </w:t>
            </w:r>
          </w:p>
        </w:tc>
        <w:tc>
          <w:tcPr>
            <w:tcW w:w="2947" w:type="dxa"/>
            <w:tcBorders>
              <w:top w:val="nil"/>
              <w:left w:val="nil"/>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7" w:type="dxa"/>
            <w:tcBorders>
              <w:top w:val="nil"/>
              <w:left w:val="nil"/>
              <w:bottom w:val="single" w:sz="4" w:space="0" w:color="auto"/>
              <w:right w:val="single" w:sz="4" w:space="0" w:color="auto"/>
            </w:tcBorders>
            <w:shd w:val="clear" w:color="auto" w:fill="B8CCE4" w:themeFill="accent1" w:themeFillTint="66"/>
            <w:tcMar>
              <w:top w:w="0" w:type="dxa"/>
              <w:left w:w="108" w:type="dxa"/>
              <w:bottom w:w="0" w:type="dxa"/>
              <w:right w:w="108" w:type="dxa"/>
            </w:tcMar>
            <w:hideMark/>
          </w:tcPr>
          <w:p w:rsidR="007F61B8" w:rsidRPr="007F61B8" w:rsidRDefault="007F61B8" w:rsidP="007F61B8">
            <w:pPr>
              <w:rPr>
                <w:rFonts w:asciiTheme="minorHAnsi" w:hAnsiTheme="minorHAnsi" w:cs="Times New Roman"/>
              </w:rPr>
            </w:pPr>
          </w:p>
        </w:tc>
        <w:tc>
          <w:tcPr>
            <w:tcW w:w="2948" w:type="dxa"/>
            <w:tcBorders>
              <w:top w:val="nil"/>
              <w:left w:val="nil"/>
              <w:bottom w:val="single" w:sz="4" w:space="0" w:color="auto"/>
              <w:right w:val="single" w:sz="4" w:space="0" w:color="auto"/>
            </w:tcBorders>
            <w:shd w:val="clear" w:color="auto" w:fill="B8CCE4" w:themeFill="accent1" w:themeFillTint="66"/>
          </w:tcPr>
          <w:p w:rsidR="007F61B8" w:rsidRPr="007F61B8" w:rsidRDefault="007F61B8" w:rsidP="007F61B8">
            <w:pPr>
              <w:rPr>
                <w:rFonts w:asciiTheme="minorHAnsi" w:hAnsiTheme="minorHAnsi" w:cs="Times New Roman"/>
              </w:rPr>
            </w:pPr>
          </w:p>
        </w:tc>
      </w:tr>
      <w:tr w:rsidR="007F61B8" w:rsidRPr="007F61B8" w:rsidTr="005D3908">
        <w:trPr>
          <w:trHeight w:val="2150"/>
        </w:trPr>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i/>
                <w:iCs/>
              </w:rPr>
              <w:t>Organization</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 xml:space="preserve">The report is so well organized that the audience is scarcely aware of its organizational and/or structural elements.  They seem to be simply another logical part of an organic whole.  </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8E449D">
            <w:pPr>
              <w:spacing w:before="100" w:beforeAutospacing="1" w:after="100" w:afterAutospacing="1"/>
              <w:rPr>
                <w:rFonts w:asciiTheme="minorHAnsi" w:hAnsiTheme="minorHAnsi" w:cs="Times New Roman"/>
              </w:rPr>
            </w:pPr>
            <w:r w:rsidRPr="007F61B8">
              <w:rPr>
                <w:rFonts w:asciiTheme="minorHAnsi" w:hAnsiTheme="minorHAnsi" w:cs="Times New Roman"/>
              </w:rPr>
              <w:t>The report is well organized, making it easily accessible to its audience.</w:t>
            </w:r>
            <w:r w:rsidR="008E449D">
              <w:rPr>
                <w:rFonts w:asciiTheme="minorHAnsi" w:hAnsiTheme="minorHAnsi" w:cs="Times New Roman"/>
              </w:rPr>
              <w:t xml:space="preserve"> It has an engaging introduction, logically organized elements, and a conclusion that is more than a simple summary.</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8E449D" w:rsidP="008E449D">
            <w:pPr>
              <w:spacing w:before="100" w:beforeAutospacing="1" w:after="100" w:afterAutospacing="1"/>
              <w:rPr>
                <w:rFonts w:asciiTheme="minorHAnsi" w:hAnsiTheme="minorHAnsi" w:cs="Times New Roman"/>
              </w:rPr>
            </w:pPr>
            <w:r w:rsidRPr="007F61B8">
              <w:rPr>
                <w:rFonts w:asciiTheme="minorHAnsi" w:hAnsiTheme="minorHAnsi" w:cs="Times New Roman"/>
              </w:rPr>
              <w:t xml:space="preserve">The report is </w:t>
            </w:r>
            <w:r>
              <w:rPr>
                <w:rFonts w:asciiTheme="minorHAnsi" w:hAnsiTheme="minorHAnsi" w:cs="Times New Roman"/>
              </w:rPr>
              <w:t xml:space="preserve">logical, if formulaic, in its organization. </w:t>
            </w:r>
            <w:r w:rsidR="00397BC9">
              <w:rPr>
                <w:rFonts w:asciiTheme="minorHAnsi" w:hAnsiTheme="minorHAnsi" w:cs="Times New Roman"/>
              </w:rPr>
              <w:t xml:space="preserve">It may feature a funnel-strategy introduction and/or a summary conclusion.  The organization makes is accessible, but also predictable.   </w:t>
            </w:r>
          </w:p>
        </w:tc>
        <w:tc>
          <w:tcPr>
            <w:tcW w:w="2948" w:type="dxa"/>
            <w:tcBorders>
              <w:top w:val="nil"/>
              <w:left w:val="nil"/>
              <w:bottom w:val="single" w:sz="4" w:space="0" w:color="auto"/>
              <w:right w:val="single" w:sz="4" w:space="0" w:color="auto"/>
            </w:tcBorders>
          </w:tcPr>
          <w:p w:rsidR="007F61B8" w:rsidRPr="007F61B8" w:rsidRDefault="008E449D"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lacks the kind of organization that makes it easily accessible to its audience.</w:t>
            </w:r>
          </w:p>
        </w:tc>
      </w:tr>
      <w:tr w:rsidR="007F61B8" w:rsidRPr="007F61B8" w:rsidTr="005D3908">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i/>
                <w:iCs/>
              </w:rPr>
              <w:t xml:space="preserve">Style </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is stylistically sophisticated, suggesting that the writer can revise adeptly at the local level, resulting in strong--even engaging--syntax, diction, voice, tone, and so on.</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087BDC"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w:t>
            </w:r>
            <w:r>
              <w:rPr>
                <w:rFonts w:asciiTheme="minorHAnsi" w:hAnsiTheme="minorHAnsi" w:cs="Times New Roman"/>
              </w:rPr>
              <w:t>he report is stylistically strong</w:t>
            </w:r>
            <w:r w:rsidRPr="007F61B8">
              <w:rPr>
                <w:rFonts w:asciiTheme="minorHAnsi" w:hAnsiTheme="minorHAnsi" w:cs="Times New Roman"/>
              </w:rPr>
              <w:t>, suggesting that t</w:t>
            </w:r>
            <w:r>
              <w:rPr>
                <w:rFonts w:asciiTheme="minorHAnsi" w:hAnsiTheme="minorHAnsi" w:cs="Times New Roman"/>
              </w:rPr>
              <w:t>he writer can revise successfully</w:t>
            </w:r>
            <w:r w:rsidRPr="007F61B8">
              <w:rPr>
                <w:rFonts w:asciiTheme="minorHAnsi" w:hAnsiTheme="minorHAnsi" w:cs="Times New Roman"/>
              </w:rPr>
              <w:t xml:space="preserve"> at the local level, paying careful attention to issues such as syntax, diction, voice, tone, and so on.</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087BDC"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is stylistically sound, suggesting that the writer can revise competently at the local level, paying careful attention to issues such as syntax, diction, voice, tone, and so on.</w:t>
            </w:r>
          </w:p>
        </w:tc>
        <w:tc>
          <w:tcPr>
            <w:tcW w:w="2948" w:type="dxa"/>
            <w:tcBorders>
              <w:top w:val="nil"/>
              <w:left w:val="nil"/>
              <w:bottom w:val="single" w:sz="4" w:space="0" w:color="auto"/>
              <w:right w:val="single" w:sz="4" w:space="0" w:color="auto"/>
            </w:tcBorders>
          </w:tcPr>
          <w:p w:rsidR="007F61B8" w:rsidRPr="007F61B8" w:rsidRDefault="00087BDC"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contains stylistic elements that suggest a lack of local revision and careful attention to issues such as syntax, diction, voice, tone, and so on.</w:t>
            </w:r>
          </w:p>
        </w:tc>
      </w:tr>
      <w:tr w:rsidR="007F61B8" w:rsidRPr="007F61B8" w:rsidTr="005D3908">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i/>
                <w:iCs/>
              </w:rPr>
              <w:t>Correctness</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E01B38" w:rsidP="007F61B8">
            <w:pPr>
              <w:spacing w:before="100" w:beforeAutospacing="1" w:after="100" w:afterAutospacing="1"/>
              <w:rPr>
                <w:rFonts w:asciiTheme="minorHAnsi" w:hAnsiTheme="minorHAnsi" w:cs="Times New Roman"/>
              </w:rPr>
            </w:pPr>
            <w:r>
              <w:rPr>
                <w:rFonts w:asciiTheme="minorHAnsi" w:hAnsiTheme="minorHAnsi" w:cs="Times New Roman"/>
              </w:rPr>
              <w:t>The report is virtually free </w:t>
            </w:r>
            <w:r w:rsidR="007F61B8" w:rsidRPr="007F61B8">
              <w:rPr>
                <w:rFonts w:asciiTheme="minorHAnsi" w:hAnsiTheme="minorHAnsi" w:cs="Times New Roman"/>
              </w:rPr>
              <w:t>of mechanical or grammatical errors, demonstrating a careful attention to editing and proofreading, upholding —even</w:t>
            </w:r>
            <w:proofErr w:type="gramStart"/>
            <w:r w:rsidR="007F61B8" w:rsidRPr="007F61B8">
              <w:rPr>
                <w:rFonts w:asciiTheme="minorHAnsi" w:hAnsiTheme="minorHAnsi" w:cs="Times New Roman"/>
              </w:rPr>
              <w:t>  contributing</w:t>
            </w:r>
            <w:proofErr w:type="gramEnd"/>
            <w:r w:rsidR="007F61B8" w:rsidRPr="007F61B8">
              <w:rPr>
                <w:rFonts w:asciiTheme="minorHAnsi" w:hAnsiTheme="minorHAnsi" w:cs="Times New Roman"/>
              </w:rPr>
              <w:t xml:space="preserve"> to—the author’s ethos as a writing teacher.   </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is essentially</w:t>
            </w:r>
            <w:proofErr w:type="gramStart"/>
            <w:r w:rsidRPr="007F61B8">
              <w:rPr>
                <w:rFonts w:asciiTheme="minorHAnsi" w:hAnsiTheme="minorHAnsi" w:cs="Times New Roman"/>
              </w:rPr>
              <w:t>  free</w:t>
            </w:r>
            <w:proofErr w:type="gramEnd"/>
            <w:r w:rsidRPr="007F61B8">
              <w:rPr>
                <w:rFonts w:asciiTheme="minorHAnsi" w:hAnsiTheme="minorHAnsi" w:cs="Times New Roman"/>
              </w:rPr>
              <w:t xml:space="preserve"> of distracting mechanical or grammatical errors, suggesting careful attention to editing and proofreading and never undermining the author’s ethos as a writing teacher.   </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contains a number of mechanical or grammatical errors, suggesting a lack of attention to editing and proofreading and undermining the author’s ethos as a writing teacher.   </w:t>
            </w:r>
          </w:p>
        </w:tc>
        <w:tc>
          <w:tcPr>
            <w:tcW w:w="2948" w:type="dxa"/>
            <w:tcBorders>
              <w:top w:val="nil"/>
              <w:left w:val="nil"/>
              <w:bottom w:val="single" w:sz="4" w:space="0" w:color="auto"/>
              <w:right w:val="single" w:sz="4" w:space="0" w:color="auto"/>
            </w:tcBorders>
          </w:tcPr>
          <w:p w:rsidR="007F61B8" w:rsidRPr="007F61B8" w:rsidRDefault="00E01B38" w:rsidP="007F61B8">
            <w:pPr>
              <w:spacing w:before="100" w:beforeAutospacing="1" w:after="100" w:afterAutospacing="1"/>
              <w:rPr>
                <w:rFonts w:asciiTheme="minorHAnsi" w:hAnsiTheme="minorHAnsi" w:cs="Times New Roman"/>
              </w:rPr>
            </w:pPr>
            <w:r>
              <w:rPr>
                <w:rFonts w:asciiTheme="minorHAnsi" w:hAnsiTheme="minorHAnsi" w:cs="Times New Roman"/>
              </w:rPr>
              <w:t>The r</w:t>
            </w:r>
            <w:r w:rsidR="00104C66">
              <w:rPr>
                <w:rFonts w:asciiTheme="minorHAnsi" w:hAnsiTheme="minorHAnsi" w:cs="Times New Roman"/>
              </w:rPr>
              <w:t>eport contains distracting mechanical or grammatical errors, making it difficult to read and undermining the author’s ethos as a writing teacher.</w:t>
            </w:r>
          </w:p>
        </w:tc>
      </w:tr>
      <w:tr w:rsidR="007F61B8" w:rsidRPr="007F61B8" w:rsidTr="005D3908">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i/>
                <w:iCs/>
              </w:rPr>
              <w:t>Presentation/Visual Elements</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 xml:space="preserve">The </w:t>
            </w:r>
            <w:proofErr w:type="gramStart"/>
            <w:r w:rsidRPr="007F61B8">
              <w:rPr>
                <w:rFonts w:asciiTheme="minorHAnsi" w:hAnsiTheme="minorHAnsi" w:cs="Times New Roman"/>
              </w:rPr>
              <w:t>report demonstrates careful attention to—even</w:t>
            </w:r>
            <w:proofErr w:type="gramEnd"/>
            <w:r w:rsidRPr="007F61B8">
              <w:rPr>
                <w:rFonts w:asciiTheme="minorHAnsi" w:hAnsiTheme="minorHAnsi" w:cs="Times New Roman"/>
              </w:rPr>
              <w:t xml:space="preserve"> a certain creativity</w:t>
            </w:r>
            <w:r w:rsidR="00104C66">
              <w:rPr>
                <w:rFonts w:asciiTheme="minorHAnsi" w:hAnsiTheme="minorHAnsi" w:cs="Times New Roman"/>
              </w:rPr>
              <w:t xml:space="preserve"> in relation to—presentational </w:t>
            </w:r>
            <w:r w:rsidRPr="007F61B8">
              <w:rPr>
                <w:rFonts w:asciiTheme="minorHAnsi" w:hAnsiTheme="minorHAnsi" w:cs="Times New Roman"/>
              </w:rPr>
              <w:t>detail</w:t>
            </w:r>
            <w:r w:rsidR="007632A7">
              <w:rPr>
                <w:rFonts w:asciiTheme="minorHAnsi" w:hAnsiTheme="minorHAnsi" w:cs="Times New Roman"/>
              </w:rPr>
              <w:t xml:space="preserve">s such as formatting and </w:t>
            </w:r>
            <w:r w:rsidRPr="007F61B8">
              <w:rPr>
                <w:rFonts w:asciiTheme="minorHAnsi" w:hAnsiTheme="minorHAnsi" w:cs="Times New Roman"/>
              </w:rPr>
              <w:t xml:space="preserve">neatness. </w:t>
            </w:r>
            <w:r w:rsidR="007632A7">
              <w:rPr>
                <w:rFonts w:asciiTheme="minorHAnsi" w:hAnsiTheme="minorHAnsi" w:cs="Times New Roman"/>
              </w:rPr>
              <w:t xml:space="preserve"> </w:t>
            </w:r>
            <w:r w:rsidRPr="007F61B8">
              <w:rPr>
                <w:rFonts w:asciiTheme="minorHAnsi" w:hAnsiTheme="minorHAnsi" w:cs="Times New Roman"/>
              </w:rPr>
              <w:t xml:space="preserve">As a result, the audience is eager to engage with the text.  </w:t>
            </w:r>
          </w:p>
        </w:tc>
        <w:tc>
          <w:tcPr>
            <w:tcW w:w="2948"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7F61B8" w:rsidP="007F61B8">
            <w:pPr>
              <w:spacing w:before="100" w:beforeAutospacing="1" w:after="100" w:afterAutospacing="1"/>
              <w:rPr>
                <w:rFonts w:asciiTheme="minorHAnsi" w:hAnsiTheme="minorHAnsi" w:cs="Times New Roman"/>
              </w:rPr>
            </w:pPr>
            <w:r w:rsidRPr="007F61B8">
              <w:rPr>
                <w:rFonts w:asciiTheme="minorHAnsi" w:hAnsiTheme="minorHAnsi" w:cs="Times New Roman"/>
              </w:rPr>
              <w:t xml:space="preserve">The report suggests careful attention to presentational </w:t>
            </w:r>
            <w:r w:rsidR="00104C66">
              <w:rPr>
                <w:rFonts w:asciiTheme="minorHAnsi" w:hAnsiTheme="minorHAnsi" w:cs="Times New Roman"/>
              </w:rPr>
              <w:t>details such as formatting and </w:t>
            </w:r>
            <w:r w:rsidRPr="007F61B8">
              <w:rPr>
                <w:rFonts w:asciiTheme="minorHAnsi" w:hAnsiTheme="minorHAnsi" w:cs="Times New Roman"/>
              </w:rPr>
              <w:t xml:space="preserve">neatness, inviting the audience to engage with the text.  </w:t>
            </w:r>
          </w:p>
        </w:tc>
        <w:tc>
          <w:tcPr>
            <w:tcW w:w="2947" w:type="dxa"/>
            <w:tcBorders>
              <w:top w:val="nil"/>
              <w:left w:val="nil"/>
              <w:bottom w:val="single" w:sz="4" w:space="0" w:color="auto"/>
              <w:right w:val="single" w:sz="4" w:space="0" w:color="auto"/>
            </w:tcBorders>
            <w:tcMar>
              <w:top w:w="0" w:type="dxa"/>
              <w:left w:w="108" w:type="dxa"/>
              <w:bottom w:w="0" w:type="dxa"/>
              <w:right w:w="108" w:type="dxa"/>
            </w:tcMar>
            <w:hideMark/>
          </w:tcPr>
          <w:p w:rsidR="007F61B8" w:rsidRPr="007F61B8" w:rsidRDefault="00104C66" w:rsidP="00104C66">
            <w:pPr>
              <w:spacing w:before="100" w:beforeAutospacing="1" w:after="100" w:afterAutospacing="1"/>
              <w:rPr>
                <w:rFonts w:asciiTheme="minorHAnsi" w:hAnsiTheme="minorHAnsi" w:cs="Times New Roman"/>
              </w:rPr>
            </w:pPr>
            <w:r>
              <w:rPr>
                <w:rFonts w:asciiTheme="minorHAnsi" w:hAnsiTheme="minorHAnsi" w:cs="Times New Roman"/>
              </w:rPr>
              <w:t xml:space="preserve">The report is clearly and neatly formatted, making it easy to read.  </w:t>
            </w:r>
          </w:p>
        </w:tc>
        <w:tc>
          <w:tcPr>
            <w:tcW w:w="2948" w:type="dxa"/>
            <w:tcBorders>
              <w:top w:val="nil"/>
              <w:left w:val="nil"/>
              <w:bottom w:val="single" w:sz="4" w:space="0" w:color="auto"/>
              <w:right w:val="single" w:sz="4" w:space="0" w:color="auto"/>
            </w:tcBorders>
          </w:tcPr>
          <w:p w:rsidR="007F61B8" w:rsidRPr="007F61B8" w:rsidRDefault="00104C66" w:rsidP="007F61B8">
            <w:pPr>
              <w:spacing w:before="100" w:beforeAutospacing="1" w:after="100" w:afterAutospacing="1"/>
              <w:rPr>
                <w:rFonts w:asciiTheme="minorHAnsi" w:hAnsiTheme="minorHAnsi" w:cs="Times New Roman"/>
              </w:rPr>
            </w:pPr>
            <w:r w:rsidRPr="007F61B8">
              <w:rPr>
                <w:rFonts w:asciiTheme="minorHAnsi" w:hAnsiTheme="minorHAnsi" w:cs="Times New Roman"/>
              </w:rPr>
              <w:t>The report lacks attention to presentational details such as formatting and neatness. As a result, it appears unappealing and uninviting as a text. </w:t>
            </w:r>
          </w:p>
        </w:tc>
      </w:tr>
    </w:tbl>
    <w:p w:rsidR="00744366" w:rsidRDefault="007F61B8" w:rsidP="0003707E">
      <w:pPr>
        <w:spacing w:before="100" w:beforeAutospacing="1" w:after="100" w:afterAutospacing="1"/>
        <w:ind w:left="-90"/>
        <w:rPr>
          <w:rFonts w:asciiTheme="minorHAnsi" w:hAnsiTheme="minorHAnsi" w:cs="Times New Roman"/>
          <w:b/>
          <w:bCs/>
        </w:rPr>
      </w:pPr>
      <w:r w:rsidRPr="007F61B8">
        <w:rPr>
          <w:rFonts w:asciiTheme="minorHAnsi" w:hAnsiTheme="minorHAnsi" w:cs="Times New Roman"/>
          <w:b/>
          <w:bCs/>
        </w:rPr>
        <w:t xml:space="preserve">COMMENTS: </w:t>
      </w:r>
    </w:p>
    <w:p w:rsidR="00744366" w:rsidRPr="00744366" w:rsidRDefault="00744366" w:rsidP="00744366">
      <w:pPr>
        <w:spacing w:before="100" w:beforeAutospacing="1" w:after="100" w:afterAutospacing="1"/>
        <w:ind w:left="-90"/>
        <w:jc w:val="right"/>
        <w:rPr>
          <w:rFonts w:asciiTheme="minorHAnsi" w:hAnsiTheme="minorHAnsi" w:cs="Times New Roman"/>
          <w:b/>
          <w:bCs/>
        </w:rPr>
      </w:pPr>
      <w:r>
        <w:rPr>
          <w:rFonts w:asciiTheme="minorHAnsi" w:hAnsiTheme="minorHAnsi" w:cs="Times New Roman"/>
          <w:b/>
          <w:bCs/>
        </w:rPr>
        <w:t>Grade ______</w:t>
      </w:r>
    </w:p>
    <w:sectPr w:rsidR="00744366" w:rsidRPr="00744366" w:rsidSect="00744366">
      <w:pgSz w:w="15840" w:h="12240" w:orient="landscape"/>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B8"/>
    <w:rsid w:val="0003707E"/>
    <w:rsid w:val="0004740D"/>
    <w:rsid w:val="0005494F"/>
    <w:rsid w:val="000859E0"/>
    <w:rsid w:val="00087BDC"/>
    <w:rsid w:val="00090BF5"/>
    <w:rsid w:val="000D101D"/>
    <w:rsid w:val="001033D8"/>
    <w:rsid w:val="00104C66"/>
    <w:rsid w:val="00131C5E"/>
    <w:rsid w:val="00136A92"/>
    <w:rsid w:val="00144F8D"/>
    <w:rsid w:val="0018137C"/>
    <w:rsid w:val="00186E19"/>
    <w:rsid w:val="001B1AEC"/>
    <w:rsid w:val="001C5697"/>
    <w:rsid w:val="001C7F07"/>
    <w:rsid w:val="001E50F3"/>
    <w:rsid w:val="001F7338"/>
    <w:rsid w:val="00220BE6"/>
    <w:rsid w:val="002261D1"/>
    <w:rsid w:val="0029164A"/>
    <w:rsid w:val="002A298E"/>
    <w:rsid w:val="002A467F"/>
    <w:rsid w:val="002A5524"/>
    <w:rsid w:val="002B12DB"/>
    <w:rsid w:val="002D1C6A"/>
    <w:rsid w:val="002F75DC"/>
    <w:rsid w:val="002F7A98"/>
    <w:rsid w:val="0034762B"/>
    <w:rsid w:val="00397BC9"/>
    <w:rsid w:val="003B0770"/>
    <w:rsid w:val="003B5558"/>
    <w:rsid w:val="003E6218"/>
    <w:rsid w:val="003F619B"/>
    <w:rsid w:val="0040049D"/>
    <w:rsid w:val="00453C7C"/>
    <w:rsid w:val="00465B6F"/>
    <w:rsid w:val="004A30E6"/>
    <w:rsid w:val="004B36AA"/>
    <w:rsid w:val="005079AA"/>
    <w:rsid w:val="005155AD"/>
    <w:rsid w:val="005A1B1C"/>
    <w:rsid w:val="005D3908"/>
    <w:rsid w:val="005D4DAA"/>
    <w:rsid w:val="005D69B4"/>
    <w:rsid w:val="00602DD3"/>
    <w:rsid w:val="00614172"/>
    <w:rsid w:val="00641162"/>
    <w:rsid w:val="0068181D"/>
    <w:rsid w:val="006875BB"/>
    <w:rsid w:val="0069354C"/>
    <w:rsid w:val="00696662"/>
    <w:rsid w:val="006C3594"/>
    <w:rsid w:val="006C7AE7"/>
    <w:rsid w:val="006D4B8B"/>
    <w:rsid w:val="00725F45"/>
    <w:rsid w:val="00740AF9"/>
    <w:rsid w:val="00744366"/>
    <w:rsid w:val="0076281D"/>
    <w:rsid w:val="007632A7"/>
    <w:rsid w:val="00765E60"/>
    <w:rsid w:val="00774DB4"/>
    <w:rsid w:val="007F61B8"/>
    <w:rsid w:val="0081041C"/>
    <w:rsid w:val="008122DE"/>
    <w:rsid w:val="00824BED"/>
    <w:rsid w:val="00827A9F"/>
    <w:rsid w:val="00867B08"/>
    <w:rsid w:val="00881CF3"/>
    <w:rsid w:val="00895D5A"/>
    <w:rsid w:val="008D4BFE"/>
    <w:rsid w:val="008E449D"/>
    <w:rsid w:val="00904859"/>
    <w:rsid w:val="00904A1B"/>
    <w:rsid w:val="00920089"/>
    <w:rsid w:val="00932607"/>
    <w:rsid w:val="009C7AE4"/>
    <w:rsid w:val="00A17833"/>
    <w:rsid w:val="00A27C3F"/>
    <w:rsid w:val="00A67D60"/>
    <w:rsid w:val="00AA4FA9"/>
    <w:rsid w:val="00AB139B"/>
    <w:rsid w:val="00AB6B3A"/>
    <w:rsid w:val="00AD3FD5"/>
    <w:rsid w:val="00B037F2"/>
    <w:rsid w:val="00B36C29"/>
    <w:rsid w:val="00B46CA6"/>
    <w:rsid w:val="00B47272"/>
    <w:rsid w:val="00B50745"/>
    <w:rsid w:val="00B90EA5"/>
    <w:rsid w:val="00BA487A"/>
    <w:rsid w:val="00BA5D79"/>
    <w:rsid w:val="00BC2143"/>
    <w:rsid w:val="00BC28D5"/>
    <w:rsid w:val="00BD092D"/>
    <w:rsid w:val="00BD1B27"/>
    <w:rsid w:val="00BF2D23"/>
    <w:rsid w:val="00BF3C53"/>
    <w:rsid w:val="00C11402"/>
    <w:rsid w:val="00C240AD"/>
    <w:rsid w:val="00C264FF"/>
    <w:rsid w:val="00C432C3"/>
    <w:rsid w:val="00C6703A"/>
    <w:rsid w:val="00C9312B"/>
    <w:rsid w:val="00CA28DC"/>
    <w:rsid w:val="00CB08DB"/>
    <w:rsid w:val="00CC2C09"/>
    <w:rsid w:val="00D11929"/>
    <w:rsid w:val="00D33881"/>
    <w:rsid w:val="00D35D83"/>
    <w:rsid w:val="00D50FC4"/>
    <w:rsid w:val="00D5388B"/>
    <w:rsid w:val="00D82609"/>
    <w:rsid w:val="00D90A85"/>
    <w:rsid w:val="00DC184A"/>
    <w:rsid w:val="00DC56DC"/>
    <w:rsid w:val="00DE423D"/>
    <w:rsid w:val="00DE6D95"/>
    <w:rsid w:val="00DF2A06"/>
    <w:rsid w:val="00E01B38"/>
    <w:rsid w:val="00E01FD6"/>
    <w:rsid w:val="00E2151A"/>
    <w:rsid w:val="00E326BD"/>
    <w:rsid w:val="00E32748"/>
    <w:rsid w:val="00E70B96"/>
    <w:rsid w:val="00E9386A"/>
    <w:rsid w:val="00EA45B9"/>
    <w:rsid w:val="00ED4DAA"/>
    <w:rsid w:val="00F01C1F"/>
    <w:rsid w:val="00F118DD"/>
    <w:rsid w:val="00F36912"/>
    <w:rsid w:val="00F50374"/>
    <w:rsid w:val="00F579B8"/>
    <w:rsid w:val="00FC021D"/>
    <w:rsid w:val="00FC40B2"/>
    <w:rsid w:val="00FE10FB"/>
    <w:rsid w:val="00F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FD5"/>
    <w:rPr>
      <w:rFonts w:ascii="Arial" w:hAnsi="Arial" w:cs="Arial"/>
      <w:sz w:val="22"/>
      <w:szCs w:val="22"/>
    </w:rPr>
  </w:style>
  <w:style w:type="paragraph" w:styleId="Heading1">
    <w:name w:val="heading 1"/>
    <w:basedOn w:val="Normal"/>
    <w:link w:val="Heading1Char"/>
    <w:uiPriority w:val="9"/>
    <w:qFormat/>
    <w:rsid w:val="007F61B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7F61B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B8"/>
    <w:rPr>
      <w:b/>
      <w:bCs/>
      <w:kern w:val="36"/>
      <w:sz w:val="48"/>
      <w:szCs w:val="48"/>
    </w:rPr>
  </w:style>
  <w:style w:type="character" w:customStyle="1" w:styleId="Heading3Char">
    <w:name w:val="Heading 3 Char"/>
    <w:basedOn w:val="DefaultParagraphFont"/>
    <w:link w:val="Heading3"/>
    <w:uiPriority w:val="9"/>
    <w:rsid w:val="007F61B8"/>
    <w:rPr>
      <w:b/>
      <w:bCs/>
      <w:sz w:val="27"/>
      <w:szCs w:val="27"/>
    </w:rPr>
  </w:style>
  <w:style w:type="paragraph" w:styleId="IntenseQuote">
    <w:name w:val="Intense Quote"/>
    <w:basedOn w:val="Normal"/>
    <w:next w:val="Normal"/>
    <w:link w:val="IntenseQuoteChar"/>
    <w:uiPriority w:val="30"/>
    <w:qFormat/>
    <w:rsid w:val="007F61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61B8"/>
    <w:rPr>
      <w:rFonts w:ascii="Arial" w:hAnsi="Arial" w:cs="Arial"/>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FD5"/>
    <w:rPr>
      <w:rFonts w:ascii="Arial" w:hAnsi="Arial" w:cs="Arial"/>
      <w:sz w:val="22"/>
      <w:szCs w:val="22"/>
    </w:rPr>
  </w:style>
  <w:style w:type="paragraph" w:styleId="Heading1">
    <w:name w:val="heading 1"/>
    <w:basedOn w:val="Normal"/>
    <w:link w:val="Heading1Char"/>
    <w:uiPriority w:val="9"/>
    <w:qFormat/>
    <w:rsid w:val="007F61B8"/>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7F61B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1B8"/>
    <w:rPr>
      <w:b/>
      <w:bCs/>
      <w:kern w:val="36"/>
      <w:sz w:val="48"/>
      <w:szCs w:val="48"/>
    </w:rPr>
  </w:style>
  <w:style w:type="character" w:customStyle="1" w:styleId="Heading3Char">
    <w:name w:val="Heading 3 Char"/>
    <w:basedOn w:val="DefaultParagraphFont"/>
    <w:link w:val="Heading3"/>
    <w:uiPriority w:val="9"/>
    <w:rsid w:val="007F61B8"/>
    <w:rPr>
      <w:b/>
      <w:bCs/>
      <w:sz w:val="27"/>
      <w:szCs w:val="27"/>
    </w:rPr>
  </w:style>
  <w:style w:type="paragraph" w:styleId="IntenseQuote">
    <w:name w:val="Intense Quote"/>
    <w:basedOn w:val="Normal"/>
    <w:next w:val="Normal"/>
    <w:link w:val="IntenseQuoteChar"/>
    <w:uiPriority w:val="30"/>
    <w:qFormat/>
    <w:rsid w:val="007F61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61B8"/>
    <w:rPr>
      <w:rFonts w:ascii="Arial" w:hAnsi="Arial" w:cs="Arial"/>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998813">
      <w:bodyDiv w:val="1"/>
      <w:marLeft w:val="0"/>
      <w:marRight w:val="0"/>
      <w:marTop w:val="0"/>
      <w:marBottom w:val="0"/>
      <w:divBdr>
        <w:top w:val="none" w:sz="0" w:space="0" w:color="auto"/>
        <w:left w:val="none" w:sz="0" w:space="0" w:color="auto"/>
        <w:bottom w:val="none" w:sz="0" w:space="0" w:color="auto"/>
        <w:right w:val="none" w:sz="0" w:space="0" w:color="auto"/>
      </w:divBdr>
      <w:divsChild>
        <w:div w:id="55361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Lamonica</dc:creator>
  <cp:lastModifiedBy>jblanks</cp:lastModifiedBy>
  <cp:revision>2</cp:revision>
  <cp:lastPrinted>2011-06-02T15:33:00Z</cp:lastPrinted>
  <dcterms:created xsi:type="dcterms:W3CDTF">2011-10-06T01:04:00Z</dcterms:created>
  <dcterms:modified xsi:type="dcterms:W3CDTF">2011-10-06T01:04:00Z</dcterms:modified>
</cp:coreProperties>
</file>