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CC14F" w14:textId="77777777" w:rsidR="00E71270" w:rsidRDefault="00E71270" w:rsidP="00E71270">
      <w:pPr>
        <w:pStyle w:val="NormalWeb"/>
        <w:spacing w:before="0" w:beforeAutospacing="0" w:after="0" w:afterAutospacing="0"/>
        <w:rPr>
          <w:rFonts w:ascii="Calibri" w:hAnsi="Calibri" w:cs="Calibri"/>
          <w:color w:val="000000"/>
          <w:sz w:val="27"/>
          <w:szCs w:val="27"/>
        </w:rPr>
      </w:pPr>
      <w:r>
        <w:rPr>
          <w:rFonts w:ascii="Calibri" w:hAnsi="Calibri" w:cs="Calibri"/>
          <w:color w:val="000000"/>
          <w:sz w:val="27"/>
          <w:szCs w:val="27"/>
        </w:rPr>
        <w:t> </w:t>
      </w:r>
    </w:p>
    <w:p w14:paraId="5980C140" w14:textId="77777777" w:rsidR="00E71270" w:rsidRDefault="00E71270" w:rsidP="00E71270">
      <w:pPr>
        <w:pStyle w:val="NormalWeb"/>
        <w:spacing w:before="0" w:beforeAutospacing="0" w:after="0" w:afterAutospacing="0"/>
        <w:rPr>
          <w:rFonts w:ascii="Calibri" w:hAnsi="Calibri" w:cs="Calibri"/>
          <w:color w:val="000000"/>
          <w:sz w:val="27"/>
          <w:szCs w:val="27"/>
        </w:rPr>
      </w:pPr>
      <w:hyperlink r:id="rId5" w:tgtFrame="_blank" w:history="1">
        <w:r>
          <w:rPr>
            <w:rStyle w:val="Hyperlink"/>
            <w:rFonts w:ascii="Calibri" w:hAnsi="Calibri" w:cs="Calibri"/>
            <w:b/>
            <w:bCs/>
            <w:color w:val="333333"/>
            <w:sz w:val="27"/>
            <w:szCs w:val="27"/>
          </w:rPr>
          <w:t>2008: Reauthorization of the Higher Education Opportunity Act – Public Law 110-315</w:t>
        </w:r>
      </w:hyperlink>
      <w:r>
        <w:rPr>
          <w:rFonts w:ascii="Calibri" w:hAnsi="Calibri" w:cs="Calibri"/>
          <w:color w:val="000000"/>
          <w:sz w:val="27"/>
          <w:szCs w:val="27"/>
        </w:rPr>
        <w:t> - boosted the cachet of UDL for faculty development by requiring any college or university receiving federal aid to report on the outcomes of UDL training offered to students pursuing education majors and minors.</w:t>
      </w:r>
    </w:p>
    <w:p w14:paraId="3B828E04" w14:textId="77777777" w:rsidR="00E71270" w:rsidRDefault="00E71270" w:rsidP="00E71270">
      <w:pPr>
        <w:pStyle w:val="NormalWeb"/>
        <w:spacing w:before="0" w:beforeAutospacing="0" w:after="0" w:afterAutospacing="0"/>
        <w:rPr>
          <w:rFonts w:ascii="Calibri" w:hAnsi="Calibri" w:cs="Calibri"/>
          <w:color w:val="000000"/>
          <w:sz w:val="27"/>
          <w:szCs w:val="27"/>
        </w:rPr>
      </w:pPr>
      <w:r>
        <w:rPr>
          <w:rFonts w:ascii="Calibri" w:hAnsi="Calibri" w:cs="Calibri"/>
          <w:color w:val="000000"/>
          <w:sz w:val="27"/>
          <w:szCs w:val="27"/>
        </w:rPr>
        <w:t> </w:t>
      </w:r>
    </w:p>
    <w:p w14:paraId="1A8EFA29" w14:textId="77777777" w:rsidR="00E71270" w:rsidRDefault="00E71270" w:rsidP="00E71270">
      <w:pPr>
        <w:pStyle w:val="NormalWeb"/>
        <w:spacing w:before="0" w:beforeAutospacing="0" w:after="0" w:afterAutospacing="0"/>
        <w:rPr>
          <w:rFonts w:ascii="Calibri" w:hAnsi="Calibri" w:cs="Calibri"/>
          <w:color w:val="000000"/>
          <w:sz w:val="27"/>
          <w:szCs w:val="27"/>
        </w:rPr>
      </w:pPr>
      <w:hyperlink r:id="rId6" w:tgtFrame="_blank" w:history="1">
        <w:r>
          <w:rPr>
            <w:rStyle w:val="Hyperlink"/>
            <w:rFonts w:ascii="Calibri" w:hAnsi="Calibri" w:cs="Calibri"/>
            <w:b/>
            <w:bCs/>
            <w:color w:val="333333"/>
            <w:sz w:val="27"/>
            <w:szCs w:val="27"/>
          </w:rPr>
          <w:t>2015: Every Student Succeeds Act (ESSA)</w:t>
        </w:r>
      </w:hyperlink>
      <w:r>
        <w:rPr>
          <w:rStyle w:val="apple-converted-space"/>
          <w:rFonts w:ascii="Calibri" w:hAnsi="Calibri" w:cs="Calibri"/>
          <w:color w:val="000000"/>
          <w:sz w:val="27"/>
          <w:szCs w:val="27"/>
        </w:rPr>
        <w:t> </w:t>
      </w:r>
      <w:r>
        <w:rPr>
          <w:rFonts w:ascii="Calibri" w:hAnsi="Calibri" w:cs="Calibri"/>
          <w:color w:val="000000"/>
          <w:sz w:val="27"/>
          <w:szCs w:val="27"/>
        </w:rPr>
        <w:t>– explicitly includes UDL as a standard for assessing curriculum design and technology plans.</w:t>
      </w:r>
    </w:p>
    <w:p w14:paraId="7A1FAE0A" w14:textId="77777777" w:rsidR="00E71270" w:rsidRDefault="00E71270" w:rsidP="00E71270">
      <w:pPr>
        <w:pStyle w:val="NormalWeb"/>
        <w:spacing w:before="0" w:beforeAutospacing="0" w:after="0" w:afterAutospacing="0"/>
        <w:rPr>
          <w:rFonts w:ascii="Calibri" w:hAnsi="Calibri" w:cs="Calibri"/>
          <w:color w:val="000000"/>
          <w:sz w:val="27"/>
          <w:szCs w:val="27"/>
        </w:rPr>
      </w:pPr>
      <w:r>
        <w:rPr>
          <w:rFonts w:ascii="Calibri" w:hAnsi="Calibri" w:cs="Calibri"/>
          <w:color w:val="000000"/>
          <w:sz w:val="27"/>
          <w:szCs w:val="27"/>
        </w:rPr>
        <w:t> </w:t>
      </w:r>
    </w:p>
    <w:p w14:paraId="2C64A9D9" w14:textId="77777777" w:rsidR="00E71270" w:rsidRDefault="00E71270" w:rsidP="00E71270">
      <w:pPr>
        <w:pStyle w:val="NormalWeb"/>
        <w:spacing w:before="0" w:beforeAutospacing="0" w:after="0" w:afterAutospacing="0"/>
        <w:rPr>
          <w:rFonts w:ascii="Calibri" w:hAnsi="Calibri" w:cs="Calibri"/>
          <w:color w:val="000000"/>
          <w:sz w:val="27"/>
          <w:szCs w:val="27"/>
        </w:rPr>
      </w:pPr>
      <w:r>
        <w:rPr>
          <w:rFonts w:ascii="Calibri" w:hAnsi="Calibri" w:cs="Calibri"/>
          <w:color w:val="000000"/>
          <w:sz w:val="27"/>
          <w:szCs w:val="27"/>
        </w:rPr>
        <w:t>Reasonable accommodation is no longer considered good enough in legal challenges. You still can be found to be discriminating if all you have is a reasonable accommodation policy in place.</w:t>
      </w:r>
    </w:p>
    <w:p w14:paraId="2CD4B92F" w14:textId="77777777" w:rsidR="00E71270" w:rsidRDefault="00E71270" w:rsidP="00E71270">
      <w:pPr>
        <w:pStyle w:val="NormalWeb"/>
        <w:spacing w:before="0" w:beforeAutospacing="0" w:after="0" w:afterAutospacing="0"/>
        <w:rPr>
          <w:rFonts w:ascii="Calibri" w:hAnsi="Calibri" w:cs="Calibri"/>
          <w:color w:val="000000"/>
          <w:sz w:val="27"/>
          <w:szCs w:val="27"/>
        </w:rPr>
      </w:pPr>
      <w:r>
        <w:rPr>
          <w:rFonts w:ascii="Calibri" w:hAnsi="Calibri" w:cs="Calibri"/>
          <w:color w:val="000000"/>
          <w:sz w:val="27"/>
          <w:szCs w:val="27"/>
        </w:rPr>
        <w:t> </w:t>
      </w:r>
    </w:p>
    <w:p w14:paraId="77D10142" w14:textId="77777777" w:rsidR="00E71270" w:rsidRDefault="00E71270" w:rsidP="00E71270">
      <w:pPr>
        <w:pStyle w:val="NormalWeb"/>
        <w:spacing w:before="0" w:beforeAutospacing="0" w:after="0" w:afterAutospacing="0"/>
        <w:rPr>
          <w:rFonts w:ascii="Calibri" w:hAnsi="Calibri" w:cs="Calibri"/>
          <w:color w:val="000000"/>
          <w:sz w:val="27"/>
          <w:szCs w:val="27"/>
        </w:rPr>
      </w:pPr>
      <w:r>
        <w:rPr>
          <w:rFonts w:ascii="Calibri" w:hAnsi="Calibri" w:cs="Calibri"/>
          <w:color w:val="000000"/>
          <w:sz w:val="27"/>
          <w:szCs w:val="27"/>
        </w:rPr>
        <w:t>UDL is a framework intended to get faculty members and course designers to think proactively about the needs of all of their learners, following the instructional planning process outlined by James Basham of the</w:t>
      </w:r>
      <w:r>
        <w:rPr>
          <w:rStyle w:val="apple-converted-space"/>
          <w:rFonts w:ascii="Calibri" w:hAnsi="Calibri" w:cs="Calibri"/>
          <w:color w:val="000000"/>
          <w:sz w:val="27"/>
          <w:szCs w:val="27"/>
        </w:rPr>
        <w:t> </w:t>
      </w:r>
      <w:hyperlink r:id="rId7" w:tgtFrame="_blank" w:history="1">
        <w:r>
          <w:rPr>
            <w:rStyle w:val="Hyperlink"/>
            <w:rFonts w:ascii="Calibri" w:hAnsi="Calibri" w:cs="Calibri"/>
            <w:b/>
            <w:bCs/>
            <w:color w:val="333333"/>
            <w:sz w:val="27"/>
            <w:szCs w:val="27"/>
          </w:rPr>
          <w:t>Universal Design for Learning Implementation and Research Network (UDL-IRN)</w:t>
        </w:r>
      </w:hyperlink>
      <w:r>
        <w:rPr>
          <w:rFonts w:ascii="Calibri" w:hAnsi="Calibri" w:cs="Calibri"/>
          <w:color w:val="000000"/>
          <w:sz w:val="27"/>
          <w:szCs w:val="27"/>
        </w:rPr>
        <w:t>:</w:t>
      </w:r>
    </w:p>
    <w:p w14:paraId="282A423B" w14:textId="77777777" w:rsidR="00E71270" w:rsidRDefault="00E71270" w:rsidP="00E71270">
      <w:pPr>
        <w:numPr>
          <w:ilvl w:val="0"/>
          <w:numId w:val="15"/>
        </w:numPr>
        <w:spacing w:before="100" w:beforeAutospacing="1" w:after="100" w:afterAutospacing="1"/>
        <w:rPr>
          <w:rFonts w:ascii="PT Sans Narrow" w:hAnsi="PT Sans Narrow" w:cs="Times New Roman"/>
          <w:color w:val="333333"/>
        </w:rPr>
      </w:pPr>
      <w:r>
        <w:rPr>
          <w:rFonts w:ascii="PT Sans Narrow" w:hAnsi="PT Sans Narrow"/>
          <w:color w:val="333333"/>
        </w:rPr>
        <w:t>Establish clear outcomes – clear understanding of the goals of the lesson or unit</w:t>
      </w:r>
    </w:p>
    <w:p w14:paraId="783B91A5" w14:textId="77777777" w:rsidR="00E71270" w:rsidRDefault="00E71270" w:rsidP="00E71270">
      <w:pPr>
        <w:numPr>
          <w:ilvl w:val="0"/>
          <w:numId w:val="15"/>
        </w:numPr>
        <w:spacing w:before="100" w:beforeAutospacing="1" w:after="100" w:afterAutospacing="1"/>
        <w:rPr>
          <w:rFonts w:ascii="PT Sans Narrow" w:hAnsi="PT Sans Narrow"/>
          <w:color w:val="333333"/>
        </w:rPr>
      </w:pPr>
      <w:r>
        <w:rPr>
          <w:rFonts w:ascii="PT Sans Narrow" w:hAnsi="PT Sans Narrow"/>
          <w:color w:val="333333"/>
        </w:rPr>
        <w:t>Anticipate learner needs – prior to planning instructional experience</w:t>
      </w:r>
    </w:p>
    <w:p w14:paraId="204F5A55" w14:textId="77777777" w:rsidR="00E71270" w:rsidRDefault="00E71270" w:rsidP="00E71270">
      <w:pPr>
        <w:numPr>
          <w:ilvl w:val="0"/>
          <w:numId w:val="15"/>
        </w:numPr>
        <w:spacing w:before="100" w:beforeAutospacing="1" w:after="100" w:afterAutospacing="1"/>
        <w:rPr>
          <w:rFonts w:ascii="PT Sans Narrow" w:hAnsi="PT Sans Narrow"/>
          <w:color w:val="333333"/>
        </w:rPr>
      </w:pPr>
      <w:r>
        <w:rPr>
          <w:rFonts w:ascii="PT Sans Narrow" w:hAnsi="PT Sans Narrow"/>
          <w:color w:val="333333"/>
        </w:rPr>
        <w:t>Plan measurable outcomes and assessment – how learning is going to be measured</w:t>
      </w:r>
    </w:p>
    <w:p w14:paraId="1F493E3B" w14:textId="77777777" w:rsidR="00E71270" w:rsidRDefault="00E71270" w:rsidP="00E71270">
      <w:pPr>
        <w:numPr>
          <w:ilvl w:val="0"/>
          <w:numId w:val="15"/>
        </w:numPr>
        <w:spacing w:before="100" w:beforeAutospacing="1" w:after="100" w:afterAutospacing="1"/>
        <w:rPr>
          <w:rFonts w:ascii="PT Sans Narrow" w:hAnsi="PT Sans Narrow"/>
          <w:color w:val="333333"/>
        </w:rPr>
      </w:pPr>
      <w:r>
        <w:rPr>
          <w:rFonts w:ascii="PT Sans Narrow" w:hAnsi="PT Sans Narrow"/>
          <w:color w:val="333333"/>
        </w:rPr>
        <w:t>Instructional experience – sequence of events</w:t>
      </w:r>
    </w:p>
    <w:p w14:paraId="57E51E9F" w14:textId="77777777" w:rsidR="00E71270" w:rsidRDefault="00E71270" w:rsidP="00E71270">
      <w:pPr>
        <w:numPr>
          <w:ilvl w:val="0"/>
          <w:numId w:val="15"/>
        </w:numPr>
        <w:spacing w:before="100" w:beforeAutospacing="1" w:after="100" w:afterAutospacing="1"/>
        <w:rPr>
          <w:rFonts w:ascii="PT Sans Narrow" w:hAnsi="PT Sans Narrow"/>
          <w:color w:val="333333"/>
        </w:rPr>
      </w:pPr>
      <w:r>
        <w:rPr>
          <w:rFonts w:ascii="PT Sans Narrow" w:hAnsi="PT Sans Narrow"/>
          <w:color w:val="333333"/>
        </w:rPr>
        <w:t>Reflection and new understandings – establish checkpoints for teacher reflection and new understandings</w:t>
      </w:r>
    </w:p>
    <w:p w14:paraId="4D3AF3BE" w14:textId="75578ACE" w:rsidR="00FB400C" w:rsidRPr="00E71270" w:rsidRDefault="00E71270" w:rsidP="00E71270">
      <w:pPr>
        <w:pStyle w:val="NormalWeb"/>
        <w:spacing w:before="0" w:beforeAutospacing="0" w:after="0" w:afterAutospacing="0"/>
        <w:rPr>
          <w:rFonts w:ascii="Calibri" w:hAnsi="Calibri" w:cs="Calibri"/>
          <w:color w:val="000000"/>
          <w:sz w:val="27"/>
          <w:szCs w:val="27"/>
        </w:rPr>
      </w:pPr>
      <w:r>
        <w:rPr>
          <w:rFonts w:ascii="Calibri" w:hAnsi="Calibri" w:cs="Calibri"/>
          <w:color w:val="000000"/>
          <w:sz w:val="27"/>
          <w:szCs w:val="27"/>
        </w:rPr>
        <w:t> </w:t>
      </w:r>
      <w:bookmarkStart w:id="0" w:name="_GoBack"/>
      <w:bookmarkEnd w:id="0"/>
    </w:p>
    <w:p w14:paraId="4EE3B4AA" w14:textId="0B36EA61" w:rsidR="00FB400C" w:rsidRPr="00B1503B" w:rsidRDefault="00FB400C" w:rsidP="00FB400C">
      <w:pPr>
        <w:pStyle w:val="css-exrw3m"/>
        <w:spacing w:before="0" w:after="0"/>
        <w:textAlignment w:val="baseline"/>
        <w:rPr>
          <w:rFonts w:ascii="Arial" w:hAnsi="Arial" w:cs="Arial"/>
        </w:rPr>
      </w:pPr>
      <w:r w:rsidRPr="00B1503B">
        <w:rPr>
          <w:rFonts w:ascii="Arial" w:hAnsi="Arial" w:cs="Arial"/>
        </w:rPr>
        <w:t>In 2015</w:t>
      </w:r>
      <w:r w:rsidR="000D6C8B" w:rsidRPr="00B1503B">
        <w:rPr>
          <w:rFonts w:ascii="Arial" w:hAnsi="Arial" w:cs="Arial"/>
        </w:rPr>
        <w:t>, a</w:t>
      </w:r>
      <w:r w:rsidRPr="00B1503B">
        <w:rPr>
          <w:rFonts w:ascii="Arial" w:hAnsi="Arial" w:cs="Arial"/>
          <w:color w:val="333333"/>
        </w:rPr>
        <w:t>dvocates for the deaf filed federal lawsuits against </w:t>
      </w:r>
      <w:r w:rsidRPr="00B1503B">
        <w:rPr>
          <w:rFonts w:ascii="Arial" w:hAnsi="Arial" w:cs="Arial"/>
          <w:color w:val="000000" w:themeColor="text1"/>
          <w:bdr w:val="none" w:sz="0" w:space="0" w:color="auto" w:frame="1"/>
        </w:rPr>
        <w:t>Harvard</w:t>
      </w:r>
      <w:r w:rsidRPr="00B1503B">
        <w:rPr>
          <w:rFonts w:ascii="Arial" w:hAnsi="Arial" w:cs="Arial"/>
          <w:color w:val="000000" w:themeColor="text1"/>
        </w:rPr>
        <w:t> and </w:t>
      </w:r>
      <w:r w:rsidRPr="00B1503B">
        <w:rPr>
          <w:rFonts w:ascii="Arial" w:hAnsi="Arial" w:cs="Arial"/>
          <w:color w:val="000000" w:themeColor="text1"/>
          <w:bdr w:val="none" w:sz="0" w:space="0" w:color="auto" w:frame="1"/>
        </w:rPr>
        <w:t>M.I.T.</w:t>
      </w:r>
      <w:r w:rsidRPr="00B1503B">
        <w:rPr>
          <w:rFonts w:ascii="Arial" w:hAnsi="Arial" w:cs="Arial"/>
          <w:color w:val="000000" w:themeColor="text1"/>
        </w:rPr>
        <w:t xml:space="preserve">, </w:t>
      </w:r>
      <w:r w:rsidRPr="00B1503B">
        <w:rPr>
          <w:rFonts w:ascii="Arial" w:hAnsi="Arial" w:cs="Arial"/>
          <w:color w:val="333333"/>
        </w:rPr>
        <w:t>saying both universities violated antidiscrimination laws by failing to provide closed captioning in their online lectures, courses, podcasts and other educational materials.</w:t>
      </w:r>
    </w:p>
    <w:p w14:paraId="1096B56D" w14:textId="249AB6FF" w:rsidR="00FB400C" w:rsidRPr="00B1503B" w:rsidRDefault="00FB400C" w:rsidP="00FB400C">
      <w:pPr>
        <w:spacing w:before="100" w:beforeAutospacing="1" w:after="100" w:afterAutospacing="1"/>
        <w:textAlignment w:val="baseline"/>
        <w:rPr>
          <w:rFonts w:ascii="Arial" w:eastAsia="Times New Roman" w:hAnsi="Arial" w:cs="Arial"/>
          <w:color w:val="333333"/>
        </w:rPr>
      </w:pPr>
      <w:r w:rsidRPr="00FB400C">
        <w:rPr>
          <w:rFonts w:ascii="Arial" w:eastAsia="Times New Roman" w:hAnsi="Arial" w:cs="Arial"/>
          <w:color w:val="333333"/>
        </w:rPr>
        <w:t>“Much of Harvard’s online content is either not captioned or is inaccurately or unintelligibly captioned, making it inaccessible for individuals who are deaf or hard of hearing,” the complaint said, echoing language used in the M.I.T. complaint. “Just as buildings without ramps bar people who use wheelchairs, online content without captions excludes individuals who are deaf or hard of hearing.”</w:t>
      </w:r>
    </w:p>
    <w:p w14:paraId="37BC965B" w14:textId="77777777" w:rsidR="00B1503B" w:rsidRPr="00B1503B" w:rsidRDefault="00B1503B" w:rsidP="00B1503B">
      <w:pPr>
        <w:rPr>
          <w:rFonts w:ascii="Arial" w:eastAsia="Times New Roman" w:hAnsi="Arial" w:cs="Arial"/>
        </w:rPr>
      </w:pPr>
      <w:r w:rsidRPr="00B1503B">
        <w:rPr>
          <w:rFonts w:ascii="Arial" w:eastAsia="Times New Roman" w:hAnsi="Arial" w:cs="Arial"/>
          <w:color w:val="333333"/>
        </w:rPr>
        <w:t xml:space="preserve">In 2019, </w:t>
      </w:r>
      <w:r w:rsidRPr="00B1503B">
        <w:rPr>
          <w:rFonts w:ascii="Arial" w:eastAsia="Times New Roman" w:hAnsi="Arial" w:cs="Arial"/>
          <w:color w:val="000000"/>
          <w:shd w:val="clear" w:color="auto" w:fill="FFFFFF"/>
        </w:rPr>
        <w:t xml:space="preserve">Judge Katherine A. Robertson of the U.S. District Court of Massachusetts largely rejected the universities' second attempt to dismiss the cases. On March 28, Robertson denied the institutions' pleas for the exclusion of their websites from Title III of the Americans With Disabilities Act and Section 504 of the Rehabilitation Act. Title III of the ADA prohibits disability discrimination by "places of public accommodation." </w:t>
      </w:r>
      <w:r w:rsidRPr="00B1503B">
        <w:rPr>
          <w:rFonts w:ascii="Arial" w:eastAsia="Times New Roman" w:hAnsi="Arial" w:cs="Arial"/>
          <w:color w:val="000000"/>
          <w:shd w:val="clear" w:color="auto" w:fill="FFFFFF"/>
        </w:rPr>
        <w:lastRenderedPageBreak/>
        <w:t>Section 504 of the Rehabilitation Act prohibits discrimination on the basis of disability in programs that receive federal funding.</w:t>
      </w:r>
    </w:p>
    <w:p w14:paraId="01112852" w14:textId="58120F8B" w:rsidR="00B1503B" w:rsidRPr="00FB400C" w:rsidRDefault="00B1503B" w:rsidP="00FB400C">
      <w:pPr>
        <w:spacing w:before="100" w:beforeAutospacing="1" w:after="100" w:afterAutospacing="1"/>
        <w:textAlignment w:val="baseline"/>
        <w:rPr>
          <w:rFonts w:ascii="Arial" w:eastAsia="Times New Roman" w:hAnsi="Arial" w:cs="Arial"/>
          <w:color w:val="333333"/>
        </w:rPr>
      </w:pPr>
    </w:p>
    <w:p w14:paraId="777596E0" w14:textId="4CB3DF50" w:rsidR="00DD0E7F" w:rsidRPr="00B1503B" w:rsidRDefault="00DD0E7F" w:rsidP="00D51E45">
      <w:pPr>
        <w:rPr>
          <w:rFonts w:ascii="Arial" w:hAnsi="Arial" w:cs="Arial"/>
        </w:rPr>
      </w:pPr>
    </w:p>
    <w:p w14:paraId="37662AF6" w14:textId="0AFB7CC1" w:rsidR="00027618" w:rsidRPr="00B1503B" w:rsidRDefault="00FB2A31" w:rsidP="00D51E45">
      <w:pPr>
        <w:rPr>
          <w:rFonts w:ascii="Arial" w:hAnsi="Arial" w:cs="Arial"/>
        </w:rPr>
      </w:pPr>
      <w:hyperlink r:id="rId8" w:history="1">
        <w:r w:rsidRPr="00B1503B">
          <w:rPr>
            <w:rStyle w:val="Hyperlink"/>
            <w:rFonts w:ascii="Arial" w:hAnsi="Arial" w:cs="Arial"/>
          </w:rPr>
          <w:t>https://www.insidehighered.com/news/2019/04/08/mit-and-harvard-fail-get-out-video-captioning-court-case</w:t>
        </w:r>
      </w:hyperlink>
    </w:p>
    <w:p w14:paraId="7C940C3C" w14:textId="4DC48210" w:rsidR="00FB2A31" w:rsidRPr="00B1503B" w:rsidRDefault="00FB2A31" w:rsidP="00D51E45">
      <w:pPr>
        <w:rPr>
          <w:rFonts w:ascii="Arial" w:hAnsi="Arial" w:cs="Arial"/>
        </w:rPr>
      </w:pPr>
    </w:p>
    <w:p w14:paraId="1E222F42" w14:textId="43F64DEC" w:rsidR="001A66ED" w:rsidRPr="00B1503B" w:rsidRDefault="001A66ED" w:rsidP="001A66ED">
      <w:pPr>
        <w:rPr>
          <w:rFonts w:ascii="Arial" w:hAnsi="Arial" w:cs="Arial"/>
        </w:rPr>
      </w:pPr>
      <w:r w:rsidRPr="00B1503B">
        <w:rPr>
          <w:rFonts w:ascii="Arial" w:hAnsi="Arial" w:cs="Arial"/>
          <w:color w:val="000000"/>
          <w:shd w:val="clear" w:color="auto" w:fill="FFFFFF"/>
        </w:rPr>
        <w:t>The University of California, Berkeley, decided to</w:t>
      </w:r>
      <w:r w:rsidRPr="00B1503B">
        <w:rPr>
          <w:rStyle w:val="apple-converted-space"/>
          <w:rFonts w:ascii="Arial" w:hAnsi="Arial" w:cs="Arial"/>
          <w:color w:val="000000"/>
          <w:shd w:val="clear" w:color="auto" w:fill="FFFFFF"/>
        </w:rPr>
        <w:t> </w:t>
      </w:r>
      <w:r w:rsidRPr="00B1503B">
        <w:rPr>
          <w:rFonts w:ascii="Arial" w:hAnsi="Arial" w:cs="Arial"/>
        </w:rPr>
        <w:t>remove thousands of educational videos</w:t>
      </w:r>
      <w:r w:rsidRPr="00B1503B">
        <w:rPr>
          <w:rStyle w:val="apple-converted-space"/>
          <w:rFonts w:ascii="Arial" w:hAnsi="Arial" w:cs="Arial"/>
          <w:color w:val="000000"/>
          <w:shd w:val="clear" w:color="auto" w:fill="FFFFFF"/>
        </w:rPr>
        <w:t> </w:t>
      </w:r>
      <w:r w:rsidRPr="00B1503B">
        <w:rPr>
          <w:rFonts w:ascii="Arial" w:hAnsi="Arial" w:cs="Arial"/>
          <w:color w:val="000000"/>
          <w:shd w:val="clear" w:color="auto" w:fill="FFFFFF"/>
        </w:rPr>
        <w:t>from public view in 2017 after the U.S. Justice Department ordered the university to provide captions. The decision drew criticism from disability rights advocates but highlighted the financial and administrative burden placed on universities by web-accessibility requirements.</w:t>
      </w:r>
    </w:p>
    <w:p w14:paraId="5FFFB4C0" w14:textId="77777777" w:rsidR="0066641A" w:rsidRPr="006C6056" w:rsidRDefault="0066641A" w:rsidP="00D51E45">
      <w:pPr>
        <w:rPr>
          <w:rFonts w:ascii="Arial" w:hAnsi="Arial" w:cs="Arial"/>
        </w:rPr>
      </w:pPr>
    </w:p>
    <w:p w14:paraId="0DC6712E" w14:textId="1845D902" w:rsidR="00ED62E3" w:rsidRPr="006C6056" w:rsidRDefault="00ED62E3" w:rsidP="00ED62E3">
      <w:pPr>
        <w:pStyle w:val="NormalWeb"/>
        <w:spacing w:before="0" w:beforeAutospacing="0" w:after="360" w:afterAutospacing="0"/>
        <w:textAlignment w:val="baseline"/>
        <w:rPr>
          <w:rFonts w:ascii="Arial" w:hAnsi="Arial" w:cs="Arial"/>
          <w:color w:val="000000"/>
        </w:rPr>
      </w:pPr>
      <w:r w:rsidRPr="006C6056">
        <w:rPr>
          <w:rFonts w:ascii="Arial" w:hAnsi="Arial" w:cs="Arial"/>
          <w:color w:val="000000"/>
        </w:rPr>
        <w:t xml:space="preserve">From an instructional design </w:t>
      </w:r>
      <w:r w:rsidR="00FE546D" w:rsidRPr="006C6056">
        <w:rPr>
          <w:rFonts w:ascii="Arial" w:hAnsi="Arial" w:cs="Arial"/>
          <w:color w:val="000000"/>
        </w:rPr>
        <w:t>standpoint,</w:t>
      </w:r>
      <w:r w:rsidRPr="006C6056">
        <w:rPr>
          <w:rFonts w:ascii="Arial" w:hAnsi="Arial" w:cs="Arial"/>
          <w:color w:val="000000"/>
        </w:rPr>
        <w:t xml:space="preserve"> it is much easier to design courses and resources with accessibility in mind, rather than trying to fix an </w:t>
      </w:r>
      <w:r w:rsidR="00BB2507" w:rsidRPr="006C6056">
        <w:rPr>
          <w:rFonts w:ascii="Arial" w:hAnsi="Arial" w:cs="Arial"/>
          <w:color w:val="000000"/>
        </w:rPr>
        <w:t>accessibility</w:t>
      </w:r>
      <w:r w:rsidRPr="006C6056">
        <w:rPr>
          <w:rFonts w:ascii="Arial" w:hAnsi="Arial" w:cs="Arial"/>
          <w:color w:val="000000"/>
        </w:rPr>
        <w:t xml:space="preserve"> problem after the semester as started if a student should self-identify in a class (online or face-to-face).  If you are linking to someone else’s video online (one that you do not own and therefore cannot add captioning to) it is acceptable to post a text transcript of the video content along with the video.  Some campuses, but not all, have resources for transcription services in the Office of Accessibility.</w:t>
      </w:r>
    </w:p>
    <w:p w14:paraId="66926997" w14:textId="64344725" w:rsidR="00D46844" w:rsidRDefault="00AE1D2A" w:rsidP="00D51E45">
      <w:pPr>
        <w:rPr>
          <w:rFonts w:ascii="Arial" w:hAnsi="Arial" w:cs="Arial"/>
        </w:rPr>
      </w:pPr>
      <w:hyperlink r:id="rId9" w:history="1">
        <w:r w:rsidRPr="00DB1C91">
          <w:rPr>
            <w:rStyle w:val="Hyperlink"/>
            <w:rFonts w:ascii="Arial" w:hAnsi="Arial" w:cs="Arial"/>
          </w:rPr>
          <w:t>https://www.d.umn.edu/~lcarlson/atteam/lawsuits.html</w:t>
        </w:r>
      </w:hyperlink>
    </w:p>
    <w:p w14:paraId="7DF25E0E" w14:textId="2DBDCD82" w:rsidR="00AE1D2A" w:rsidRDefault="00AE1D2A" w:rsidP="00D51E45">
      <w:pPr>
        <w:rPr>
          <w:rFonts w:ascii="Arial" w:hAnsi="Arial" w:cs="Arial"/>
        </w:rPr>
      </w:pPr>
    </w:p>
    <w:p w14:paraId="6581D196" w14:textId="2917BD06" w:rsidR="00D52D8D" w:rsidRDefault="00D52D8D" w:rsidP="00D51E45">
      <w:pPr>
        <w:rPr>
          <w:rFonts w:ascii="Arial" w:hAnsi="Arial" w:cs="Arial"/>
        </w:rPr>
      </w:pPr>
      <w:hyperlink r:id="rId10" w:history="1">
        <w:r w:rsidRPr="00DB1C91">
          <w:rPr>
            <w:rStyle w:val="Hyperlink"/>
            <w:rFonts w:ascii="Arial" w:hAnsi="Arial" w:cs="Arial"/>
          </w:rPr>
          <w:t>http://www.atlantic.edu/documents/nfb_lanzailotti_atlantic_cape_consent_decree.pdf</w:t>
        </w:r>
      </w:hyperlink>
    </w:p>
    <w:p w14:paraId="55307F7F" w14:textId="77777777" w:rsidR="00D52D8D" w:rsidRPr="006C6056" w:rsidRDefault="00D52D8D" w:rsidP="00D51E45">
      <w:pPr>
        <w:rPr>
          <w:rFonts w:ascii="Arial" w:hAnsi="Arial" w:cs="Arial"/>
        </w:rPr>
      </w:pPr>
    </w:p>
    <w:sectPr w:rsidR="00D52D8D" w:rsidRPr="006C6056" w:rsidSect="001C7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PT Sans Narrow">
    <w:panose1 w:val="020B0506020203020204"/>
    <w:charset w:val="4D"/>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3665"/>
    <w:multiLevelType w:val="hybridMultilevel"/>
    <w:tmpl w:val="D8E087D4"/>
    <w:lvl w:ilvl="0" w:tplc="F026741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228AA"/>
    <w:multiLevelType w:val="hybridMultilevel"/>
    <w:tmpl w:val="2FA2C32C"/>
    <w:lvl w:ilvl="0" w:tplc="BB36A7B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B0E2C"/>
    <w:multiLevelType w:val="hybridMultilevel"/>
    <w:tmpl w:val="6456D4E4"/>
    <w:lvl w:ilvl="0" w:tplc="5C742EB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661E2"/>
    <w:multiLevelType w:val="hybridMultilevel"/>
    <w:tmpl w:val="EE5A7728"/>
    <w:lvl w:ilvl="0" w:tplc="8FAC1DF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0B0075"/>
    <w:multiLevelType w:val="multilevel"/>
    <w:tmpl w:val="5CCA1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3D752A"/>
    <w:multiLevelType w:val="hybridMultilevel"/>
    <w:tmpl w:val="845AF456"/>
    <w:lvl w:ilvl="0" w:tplc="6A6417C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86415E"/>
    <w:multiLevelType w:val="hybridMultilevel"/>
    <w:tmpl w:val="3FAE5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BD05E1"/>
    <w:multiLevelType w:val="hybridMultilevel"/>
    <w:tmpl w:val="51B2A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B16F0"/>
    <w:multiLevelType w:val="hybridMultilevel"/>
    <w:tmpl w:val="0EC87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B3721C"/>
    <w:multiLevelType w:val="hybridMultilevel"/>
    <w:tmpl w:val="6562CDFE"/>
    <w:lvl w:ilvl="0" w:tplc="684EE53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761D11"/>
    <w:multiLevelType w:val="hybridMultilevel"/>
    <w:tmpl w:val="5CF0FFD4"/>
    <w:lvl w:ilvl="0" w:tplc="3BD0F9A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36B3A"/>
    <w:multiLevelType w:val="hybridMultilevel"/>
    <w:tmpl w:val="DB8C2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5D4DC6"/>
    <w:multiLevelType w:val="hybridMultilevel"/>
    <w:tmpl w:val="4156C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1B2B00"/>
    <w:multiLevelType w:val="hybridMultilevel"/>
    <w:tmpl w:val="8CF6468C"/>
    <w:lvl w:ilvl="0" w:tplc="89BA3B5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977CA9"/>
    <w:multiLevelType w:val="hybridMultilevel"/>
    <w:tmpl w:val="894816F8"/>
    <w:lvl w:ilvl="0" w:tplc="C180C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1"/>
  </w:num>
  <w:num w:numId="4">
    <w:abstractNumId w:val="5"/>
  </w:num>
  <w:num w:numId="5">
    <w:abstractNumId w:val="2"/>
  </w:num>
  <w:num w:numId="6">
    <w:abstractNumId w:val="14"/>
  </w:num>
  <w:num w:numId="7">
    <w:abstractNumId w:val="12"/>
  </w:num>
  <w:num w:numId="8">
    <w:abstractNumId w:val="1"/>
  </w:num>
  <w:num w:numId="9">
    <w:abstractNumId w:val="13"/>
  </w:num>
  <w:num w:numId="10">
    <w:abstractNumId w:val="6"/>
  </w:num>
  <w:num w:numId="11">
    <w:abstractNumId w:val="0"/>
  </w:num>
  <w:num w:numId="12">
    <w:abstractNumId w:val="8"/>
  </w:num>
  <w:num w:numId="13">
    <w:abstractNumId w:val="9"/>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8FF"/>
    <w:rsid w:val="00005DA9"/>
    <w:rsid w:val="00014482"/>
    <w:rsid w:val="000147F6"/>
    <w:rsid w:val="00024E5D"/>
    <w:rsid w:val="00027618"/>
    <w:rsid w:val="00041E45"/>
    <w:rsid w:val="0005378A"/>
    <w:rsid w:val="0006102B"/>
    <w:rsid w:val="00067195"/>
    <w:rsid w:val="000764AC"/>
    <w:rsid w:val="0009404E"/>
    <w:rsid w:val="00094CE9"/>
    <w:rsid w:val="00096FB3"/>
    <w:rsid w:val="000A6997"/>
    <w:rsid w:val="000B11C3"/>
    <w:rsid w:val="000B34C9"/>
    <w:rsid w:val="000B6FDF"/>
    <w:rsid w:val="000C25D3"/>
    <w:rsid w:val="000D1A77"/>
    <w:rsid w:val="000D3070"/>
    <w:rsid w:val="000D3243"/>
    <w:rsid w:val="000D6C8B"/>
    <w:rsid w:val="000E06D6"/>
    <w:rsid w:val="00122A00"/>
    <w:rsid w:val="001305F1"/>
    <w:rsid w:val="0013290B"/>
    <w:rsid w:val="00151E29"/>
    <w:rsid w:val="00153CAF"/>
    <w:rsid w:val="0015659E"/>
    <w:rsid w:val="00163189"/>
    <w:rsid w:val="0016487F"/>
    <w:rsid w:val="00177A0D"/>
    <w:rsid w:val="00180ED5"/>
    <w:rsid w:val="0018652F"/>
    <w:rsid w:val="001A3100"/>
    <w:rsid w:val="001A66ED"/>
    <w:rsid w:val="001B1D88"/>
    <w:rsid w:val="001B4BBB"/>
    <w:rsid w:val="001B658D"/>
    <w:rsid w:val="001C4199"/>
    <w:rsid w:val="001C7CB0"/>
    <w:rsid w:val="001E1E23"/>
    <w:rsid w:val="001E4304"/>
    <w:rsid w:val="001E4C47"/>
    <w:rsid w:val="001E6DDD"/>
    <w:rsid w:val="001F45BD"/>
    <w:rsid w:val="001F7B0A"/>
    <w:rsid w:val="00207973"/>
    <w:rsid w:val="002113F9"/>
    <w:rsid w:val="00220A8C"/>
    <w:rsid w:val="00233B7E"/>
    <w:rsid w:val="0024175D"/>
    <w:rsid w:val="002503BF"/>
    <w:rsid w:val="00274818"/>
    <w:rsid w:val="002772D3"/>
    <w:rsid w:val="00295747"/>
    <w:rsid w:val="002A340C"/>
    <w:rsid w:val="002A5B06"/>
    <w:rsid w:val="002A77F9"/>
    <w:rsid w:val="002B0A92"/>
    <w:rsid w:val="002B54E0"/>
    <w:rsid w:val="002B6F6D"/>
    <w:rsid w:val="002B7E1D"/>
    <w:rsid w:val="002C07AB"/>
    <w:rsid w:val="002E12AF"/>
    <w:rsid w:val="002E7566"/>
    <w:rsid w:val="002E7689"/>
    <w:rsid w:val="002F0A32"/>
    <w:rsid w:val="002F0B31"/>
    <w:rsid w:val="002F2C19"/>
    <w:rsid w:val="00314931"/>
    <w:rsid w:val="003248FA"/>
    <w:rsid w:val="00331A98"/>
    <w:rsid w:val="00362F02"/>
    <w:rsid w:val="003630BC"/>
    <w:rsid w:val="00365E81"/>
    <w:rsid w:val="00370DB2"/>
    <w:rsid w:val="0037769A"/>
    <w:rsid w:val="00392982"/>
    <w:rsid w:val="003B724C"/>
    <w:rsid w:val="003D3B42"/>
    <w:rsid w:val="00402EB3"/>
    <w:rsid w:val="0040790B"/>
    <w:rsid w:val="00407AEB"/>
    <w:rsid w:val="00415B04"/>
    <w:rsid w:val="00415B77"/>
    <w:rsid w:val="004205D3"/>
    <w:rsid w:val="00423FFC"/>
    <w:rsid w:val="00427096"/>
    <w:rsid w:val="00447C48"/>
    <w:rsid w:val="004570A5"/>
    <w:rsid w:val="00483215"/>
    <w:rsid w:val="004A23BA"/>
    <w:rsid w:val="004A304D"/>
    <w:rsid w:val="004A347B"/>
    <w:rsid w:val="004A6DB1"/>
    <w:rsid w:val="004A6F7A"/>
    <w:rsid w:val="004B1E72"/>
    <w:rsid w:val="004C65A3"/>
    <w:rsid w:val="004D030A"/>
    <w:rsid w:val="004E190B"/>
    <w:rsid w:val="004E3C72"/>
    <w:rsid w:val="004F1DD5"/>
    <w:rsid w:val="00513E17"/>
    <w:rsid w:val="00515ABD"/>
    <w:rsid w:val="0052676A"/>
    <w:rsid w:val="005312F8"/>
    <w:rsid w:val="00536E1F"/>
    <w:rsid w:val="00537DF4"/>
    <w:rsid w:val="00544CA7"/>
    <w:rsid w:val="00546C4B"/>
    <w:rsid w:val="005515D4"/>
    <w:rsid w:val="00551D00"/>
    <w:rsid w:val="00552FEF"/>
    <w:rsid w:val="005571AB"/>
    <w:rsid w:val="00570E61"/>
    <w:rsid w:val="005723E3"/>
    <w:rsid w:val="005743AD"/>
    <w:rsid w:val="00577152"/>
    <w:rsid w:val="005779F6"/>
    <w:rsid w:val="005801DC"/>
    <w:rsid w:val="00594B41"/>
    <w:rsid w:val="0059615C"/>
    <w:rsid w:val="005A5884"/>
    <w:rsid w:val="005A5C8E"/>
    <w:rsid w:val="005B32B0"/>
    <w:rsid w:val="005C3048"/>
    <w:rsid w:val="005D0C72"/>
    <w:rsid w:val="005E2686"/>
    <w:rsid w:val="005F47A3"/>
    <w:rsid w:val="005F4D46"/>
    <w:rsid w:val="0060448A"/>
    <w:rsid w:val="00607A6A"/>
    <w:rsid w:val="00616080"/>
    <w:rsid w:val="006323CB"/>
    <w:rsid w:val="006450B4"/>
    <w:rsid w:val="00661772"/>
    <w:rsid w:val="00663824"/>
    <w:rsid w:val="0066641A"/>
    <w:rsid w:val="00676150"/>
    <w:rsid w:val="00676C8A"/>
    <w:rsid w:val="00680C1B"/>
    <w:rsid w:val="006A0ACA"/>
    <w:rsid w:val="006A1C72"/>
    <w:rsid w:val="006A4E2D"/>
    <w:rsid w:val="006A76F8"/>
    <w:rsid w:val="006A7E16"/>
    <w:rsid w:val="006B30D6"/>
    <w:rsid w:val="006B5643"/>
    <w:rsid w:val="006B5BF6"/>
    <w:rsid w:val="006B680D"/>
    <w:rsid w:val="006C2FF6"/>
    <w:rsid w:val="006C6056"/>
    <w:rsid w:val="006E030B"/>
    <w:rsid w:val="006E72A0"/>
    <w:rsid w:val="006F36D8"/>
    <w:rsid w:val="006F40A3"/>
    <w:rsid w:val="0070017A"/>
    <w:rsid w:val="00711D3D"/>
    <w:rsid w:val="00715803"/>
    <w:rsid w:val="00721FB7"/>
    <w:rsid w:val="00733902"/>
    <w:rsid w:val="007455D0"/>
    <w:rsid w:val="0075556C"/>
    <w:rsid w:val="00756F3E"/>
    <w:rsid w:val="00761C11"/>
    <w:rsid w:val="007661C9"/>
    <w:rsid w:val="0078346A"/>
    <w:rsid w:val="00794E9E"/>
    <w:rsid w:val="007A4A50"/>
    <w:rsid w:val="007A77EB"/>
    <w:rsid w:val="007B31AE"/>
    <w:rsid w:val="007E1859"/>
    <w:rsid w:val="007E7267"/>
    <w:rsid w:val="007E7344"/>
    <w:rsid w:val="007F2D17"/>
    <w:rsid w:val="007F2FDC"/>
    <w:rsid w:val="007F4958"/>
    <w:rsid w:val="008041FA"/>
    <w:rsid w:val="00810BAC"/>
    <w:rsid w:val="008124FC"/>
    <w:rsid w:val="00813B0E"/>
    <w:rsid w:val="00822574"/>
    <w:rsid w:val="00823774"/>
    <w:rsid w:val="00833BD5"/>
    <w:rsid w:val="00846864"/>
    <w:rsid w:val="0086111D"/>
    <w:rsid w:val="008760CA"/>
    <w:rsid w:val="008801A2"/>
    <w:rsid w:val="00887B1D"/>
    <w:rsid w:val="00892265"/>
    <w:rsid w:val="00897357"/>
    <w:rsid w:val="00897A31"/>
    <w:rsid w:val="008A5C47"/>
    <w:rsid w:val="008B1F89"/>
    <w:rsid w:val="008B2C17"/>
    <w:rsid w:val="008B318B"/>
    <w:rsid w:val="008C549E"/>
    <w:rsid w:val="008D3209"/>
    <w:rsid w:val="008D7918"/>
    <w:rsid w:val="008E4965"/>
    <w:rsid w:val="008E5251"/>
    <w:rsid w:val="008E753D"/>
    <w:rsid w:val="008E7890"/>
    <w:rsid w:val="008E7C5E"/>
    <w:rsid w:val="008F019E"/>
    <w:rsid w:val="008F403A"/>
    <w:rsid w:val="00907E16"/>
    <w:rsid w:val="009228AC"/>
    <w:rsid w:val="00930A51"/>
    <w:rsid w:val="00933D6D"/>
    <w:rsid w:val="00980A08"/>
    <w:rsid w:val="00982A69"/>
    <w:rsid w:val="00993669"/>
    <w:rsid w:val="009944AB"/>
    <w:rsid w:val="00997A7B"/>
    <w:rsid w:val="009B031F"/>
    <w:rsid w:val="009B5FDC"/>
    <w:rsid w:val="009C095E"/>
    <w:rsid w:val="009C6006"/>
    <w:rsid w:val="009D143E"/>
    <w:rsid w:val="009E557A"/>
    <w:rsid w:val="009E6797"/>
    <w:rsid w:val="00A0548F"/>
    <w:rsid w:val="00A339B0"/>
    <w:rsid w:val="00A344C4"/>
    <w:rsid w:val="00A423A7"/>
    <w:rsid w:val="00A45D35"/>
    <w:rsid w:val="00A50F9B"/>
    <w:rsid w:val="00A527A9"/>
    <w:rsid w:val="00A7071C"/>
    <w:rsid w:val="00A74D16"/>
    <w:rsid w:val="00A84F87"/>
    <w:rsid w:val="00A851DC"/>
    <w:rsid w:val="00A853EF"/>
    <w:rsid w:val="00A905F8"/>
    <w:rsid w:val="00A9309D"/>
    <w:rsid w:val="00A95902"/>
    <w:rsid w:val="00A96961"/>
    <w:rsid w:val="00AB3F90"/>
    <w:rsid w:val="00AC059E"/>
    <w:rsid w:val="00AC5E87"/>
    <w:rsid w:val="00AD1B80"/>
    <w:rsid w:val="00AD3427"/>
    <w:rsid w:val="00AD4470"/>
    <w:rsid w:val="00AD4D27"/>
    <w:rsid w:val="00AE1D2A"/>
    <w:rsid w:val="00AE3A59"/>
    <w:rsid w:val="00AE5FB2"/>
    <w:rsid w:val="00AF1B3E"/>
    <w:rsid w:val="00AF3D72"/>
    <w:rsid w:val="00B031CC"/>
    <w:rsid w:val="00B07288"/>
    <w:rsid w:val="00B1503B"/>
    <w:rsid w:val="00B15FFC"/>
    <w:rsid w:val="00B177DB"/>
    <w:rsid w:val="00B22A3C"/>
    <w:rsid w:val="00B238FA"/>
    <w:rsid w:val="00B276FA"/>
    <w:rsid w:val="00B6094E"/>
    <w:rsid w:val="00B67AD9"/>
    <w:rsid w:val="00B86AC1"/>
    <w:rsid w:val="00BA5F26"/>
    <w:rsid w:val="00BB2507"/>
    <w:rsid w:val="00BB3BF3"/>
    <w:rsid w:val="00BB7B5B"/>
    <w:rsid w:val="00BB7CB7"/>
    <w:rsid w:val="00BD7E72"/>
    <w:rsid w:val="00BF2CD9"/>
    <w:rsid w:val="00BF430E"/>
    <w:rsid w:val="00BF6194"/>
    <w:rsid w:val="00C0313C"/>
    <w:rsid w:val="00C133D3"/>
    <w:rsid w:val="00C21328"/>
    <w:rsid w:val="00C27D5D"/>
    <w:rsid w:val="00C37C1F"/>
    <w:rsid w:val="00C5161F"/>
    <w:rsid w:val="00C568FF"/>
    <w:rsid w:val="00C672D4"/>
    <w:rsid w:val="00C719D8"/>
    <w:rsid w:val="00C85073"/>
    <w:rsid w:val="00C864EA"/>
    <w:rsid w:val="00C93242"/>
    <w:rsid w:val="00CB1781"/>
    <w:rsid w:val="00CD48A1"/>
    <w:rsid w:val="00CD6BE2"/>
    <w:rsid w:val="00CE74A2"/>
    <w:rsid w:val="00D21800"/>
    <w:rsid w:val="00D22E37"/>
    <w:rsid w:val="00D27178"/>
    <w:rsid w:val="00D3411D"/>
    <w:rsid w:val="00D37151"/>
    <w:rsid w:val="00D3748A"/>
    <w:rsid w:val="00D44982"/>
    <w:rsid w:val="00D46844"/>
    <w:rsid w:val="00D51612"/>
    <w:rsid w:val="00D51E45"/>
    <w:rsid w:val="00D5217B"/>
    <w:rsid w:val="00D52D8D"/>
    <w:rsid w:val="00D53A9A"/>
    <w:rsid w:val="00D63CA0"/>
    <w:rsid w:val="00D73A75"/>
    <w:rsid w:val="00D7756B"/>
    <w:rsid w:val="00D81C4D"/>
    <w:rsid w:val="00D82D6F"/>
    <w:rsid w:val="00D85B29"/>
    <w:rsid w:val="00D86512"/>
    <w:rsid w:val="00DA2368"/>
    <w:rsid w:val="00DA5B40"/>
    <w:rsid w:val="00DA6EB5"/>
    <w:rsid w:val="00DB03A0"/>
    <w:rsid w:val="00DB2EE7"/>
    <w:rsid w:val="00DD0E7F"/>
    <w:rsid w:val="00DD10C6"/>
    <w:rsid w:val="00E03DD5"/>
    <w:rsid w:val="00E06AB6"/>
    <w:rsid w:val="00E0733D"/>
    <w:rsid w:val="00E10FCF"/>
    <w:rsid w:val="00E15CA0"/>
    <w:rsid w:val="00E2074A"/>
    <w:rsid w:val="00E42D8C"/>
    <w:rsid w:val="00E51558"/>
    <w:rsid w:val="00E5500D"/>
    <w:rsid w:val="00E576F4"/>
    <w:rsid w:val="00E60A79"/>
    <w:rsid w:val="00E63A4E"/>
    <w:rsid w:val="00E71270"/>
    <w:rsid w:val="00E929F0"/>
    <w:rsid w:val="00E96DB6"/>
    <w:rsid w:val="00EB153D"/>
    <w:rsid w:val="00EB21FB"/>
    <w:rsid w:val="00EB3B3A"/>
    <w:rsid w:val="00EB593C"/>
    <w:rsid w:val="00ED5565"/>
    <w:rsid w:val="00ED62E3"/>
    <w:rsid w:val="00F0020F"/>
    <w:rsid w:val="00F10FEB"/>
    <w:rsid w:val="00F124F6"/>
    <w:rsid w:val="00F14CFA"/>
    <w:rsid w:val="00F262C2"/>
    <w:rsid w:val="00F26BC6"/>
    <w:rsid w:val="00F27251"/>
    <w:rsid w:val="00F47DCE"/>
    <w:rsid w:val="00F50DBC"/>
    <w:rsid w:val="00F5317B"/>
    <w:rsid w:val="00F60E31"/>
    <w:rsid w:val="00F65E30"/>
    <w:rsid w:val="00F7673F"/>
    <w:rsid w:val="00F85F84"/>
    <w:rsid w:val="00F87FC5"/>
    <w:rsid w:val="00F95E2B"/>
    <w:rsid w:val="00F96138"/>
    <w:rsid w:val="00F96AD6"/>
    <w:rsid w:val="00FA0079"/>
    <w:rsid w:val="00FA707E"/>
    <w:rsid w:val="00FB2A31"/>
    <w:rsid w:val="00FB400C"/>
    <w:rsid w:val="00FB428B"/>
    <w:rsid w:val="00FC55FD"/>
    <w:rsid w:val="00FC64FB"/>
    <w:rsid w:val="00FC6EC3"/>
    <w:rsid w:val="00FD5DCF"/>
    <w:rsid w:val="00FD7CEE"/>
    <w:rsid w:val="00FE0FD1"/>
    <w:rsid w:val="00FE2284"/>
    <w:rsid w:val="00FE5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C3A7"/>
  <w15:chartTrackingRefBased/>
  <w15:docId w15:val="{E43E4094-AB2D-9A44-BBD4-8FA47474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344"/>
    <w:pPr>
      <w:ind w:left="720"/>
      <w:contextualSpacing/>
    </w:pPr>
  </w:style>
  <w:style w:type="character" w:styleId="Hyperlink">
    <w:name w:val="Hyperlink"/>
    <w:basedOn w:val="DefaultParagraphFont"/>
    <w:uiPriority w:val="99"/>
    <w:unhideWhenUsed/>
    <w:rsid w:val="000764AC"/>
    <w:rPr>
      <w:color w:val="0563C1" w:themeColor="hyperlink"/>
      <w:u w:val="single"/>
    </w:rPr>
  </w:style>
  <w:style w:type="character" w:styleId="UnresolvedMention">
    <w:name w:val="Unresolved Mention"/>
    <w:basedOn w:val="DefaultParagraphFont"/>
    <w:uiPriority w:val="99"/>
    <w:semiHidden/>
    <w:unhideWhenUsed/>
    <w:rsid w:val="000764AC"/>
    <w:rPr>
      <w:color w:val="605E5C"/>
      <w:shd w:val="clear" w:color="auto" w:fill="E1DFDD"/>
    </w:rPr>
  </w:style>
  <w:style w:type="table" w:styleId="TableGrid">
    <w:name w:val="Table Grid"/>
    <w:basedOn w:val="TableNormal"/>
    <w:uiPriority w:val="39"/>
    <w:rsid w:val="005A5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s-exrw3m">
    <w:name w:val="css-exrw3m"/>
    <w:basedOn w:val="Normal"/>
    <w:rsid w:val="00FB400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B400C"/>
  </w:style>
  <w:style w:type="paragraph" w:styleId="NormalWeb">
    <w:name w:val="Normal (Web)"/>
    <w:basedOn w:val="Normal"/>
    <w:uiPriority w:val="99"/>
    <w:unhideWhenUsed/>
    <w:rsid w:val="00ED62E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365762">
      <w:bodyDiv w:val="1"/>
      <w:marLeft w:val="0"/>
      <w:marRight w:val="0"/>
      <w:marTop w:val="0"/>
      <w:marBottom w:val="0"/>
      <w:divBdr>
        <w:top w:val="none" w:sz="0" w:space="0" w:color="auto"/>
        <w:left w:val="none" w:sz="0" w:space="0" w:color="auto"/>
        <w:bottom w:val="none" w:sz="0" w:space="0" w:color="auto"/>
        <w:right w:val="none" w:sz="0" w:space="0" w:color="auto"/>
      </w:divBdr>
    </w:div>
    <w:div w:id="731580344">
      <w:bodyDiv w:val="1"/>
      <w:marLeft w:val="0"/>
      <w:marRight w:val="0"/>
      <w:marTop w:val="0"/>
      <w:marBottom w:val="0"/>
      <w:divBdr>
        <w:top w:val="none" w:sz="0" w:space="0" w:color="auto"/>
        <w:left w:val="none" w:sz="0" w:space="0" w:color="auto"/>
        <w:bottom w:val="none" w:sz="0" w:space="0" w:color="auto"/>
        <w:right w:val="none" w:sz="0" w:space="0" w:color="auto"/>
      </w:divBdr>
    </w:div>
    <w:div w:id="1109857294">
      <w:bodyDiv w:val="1"/>
      <w:marLeft w:val="0"/>
      <w:marRight w:val="0"/>
      <w:marTop w:val="0"/>
      <w:marBottom w:val="0"/>
      <w:divBdr>
        <w:top w:val="none" w:sz="0" w:space="0" w:color="auto"/>
        <w:left w:val="none" w:sz="0" w:space="0" w:color="auto"/>
        <w:bottom w:val="none" w:sz="0" w:space="0" w:color="auto"/>
        <w:right w:val="none" w:sz="0" w:space="0" w:color="auto"/>
      </w:divBdr>
    </w:div>
    <w:div w:id="1814368418">
      <w:bodyDiv w:val="1"/>
      <w:marLeft w:val="0"/>
      <w:marRight w:val="0"/>
      <w:marTop w:val="0"/>
      <w:marBottom w:val="0"/>
      <w:divBdr>
        <w:top w:val="none" w:sz="0" w:space="0" w:color="auto"/>
        <w:left w:val="none" w:sz="0" w:space="0" w:color="auto"/>
        <w:bottom w:val="none" w:sz="0" w:space="0" w:color="auto"/>
        <w:right w:val="none" w:sz="0" w:space="0" w:color="auto"/>
      </w:divBdr>
    </w:div>
    <w:div w:id="193373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idehighered.com/news/2019/04/08/mit-and-harvard-fail-get-out-video-captioning-court-case" TargetMode="External"/><Relationship Id="rId3" Type="http://schemas.openxmlformats.org/officeDocument/2006/relationships/settings" Target="settings.xml"/><Relationship Id="rId7" Type="http://schemas.openxmlformats.org/officeDocument/2006/relationships/hyperlink" Target="https://udl-ir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gov/essa" TargetMode="External"/><Relationship Id="rId11" Type="http://schemas.openxmlformats.org/officeDocument/2006/relationships/fontTable" Target="fontTable.xml"/><Relationship Id="rId5" Type="http://schemas.openxmlformats.org/officeDocument/2006/relationships/hyperlink" Target="https://www2.ed.gov/policy/highered/leg/hea08/index.html" TargetMode="External"/><Relationship Id="rId10" Type="http://schemas.openxmlformats.org/officeDocument/2006/relationships/hyperlink" Target="http://www.atlantic.edu/documents/nfb_lanzailotti_atlantic_cape_consent_decree.pdf" TargetMode="External"/><Relationship Id="rId4" Type="http://schemas.openxmlformats.org/officeDocument/2006/relationships/webSettings" Target="webSettings.xml"/><Relationship Id="rId9" Type="http://schemas.openxmlformats.org/officeDocument/2006/relationships/hyperlink" Target="https://www.d.umn.edu/~lcarlson/atteam/lawsui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Nilsson, Sarah</dc:creator>
  <cp:keywords/>
  <dc:description/>
  <cp:lastModifiedBy>Nilsson, Sarah</cp:lastModifiedBy>
  <cp:revision>2</cp:revision>
  <dcterms:created xsi:type="dcterms:W3CDTF">2019-07-11T04:36:00Z</dcterms:created>
  <dcterms:modified xsi:type="dcterms:W3CDTF">2019-07-11T04:36:00Z</dcterms:modified>
</cp:coreProperties>
</file>